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Arial" w:eastAsia="Arial" w:hAnsi="Arial" w:cs="Arial"/>
          <w:sz w:val="28"/>
          <w:szCs w:val="28"/>
        </w:rPr>
      </w:pPr>
      <w:r>
        <w:rPr>
          <w:noProof/>
          <w:lang w:eastAsia="en-GB"/>
        </w:rPr>
        <w:drawing>
          <wp:inline distT="0" distB="0" distL="0" distR="0">
            <wp:extent cx="3019425" cy="657225"/>
            <wp:effectExtent l="0" t="0" r="0" b="0"/>
            <wp:docPr id="1464074922" name="Picture 1464074922" descr="Learn@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019425" cy="657225"/>
                    </a:xfrm>
                    <a:prstGeom prst="rect">
                      <a:avLst/>
                    </a:prstGeom>
                  </pic:spPr>
                </pic:pic>
              </a:graphicData>
            </a:graphic>
          </wp:inline>
        </w:drawing>
      </w:r>
    </w:p>
    <w:p>
      <w:pPr>
        <w:spacing w:after="5"/>
        <w:ind w:left="10" w:right="449" w:hanging="10"/>
        <w:jc w:val="right"/>
        <w:rPr>
          <w:rFonts w:ascii="Arial" w:eastAsia="Arial" w:hAnsi="Arial" w:cs="Arial"/>
          <w:sz w:val="56"/>
          <w:szCs w:val="56"/>
        </w:rPr>
      </w:pPr>
      <w:r>
        <w:rPr>
          <w:noProof/>
          <w:lang w:eastAsia="en-GB"/>
        </w:rPr>
        <w:drawing>
          <wp:inline distT="0" distB="0" distL="0" distR="0">
            <wp:extent cx="4533900" cy="2428875"/>
            <wp:effectExtent l="0" t="0" r="0" b="0"/>
            <wp:docPr id="1329593167" name="Picture 1329593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533900" cy="2428875"/>
                    </a:xfrm>
                    <a:prstGeom prst="rect">
                      <a:avLst/>
                    </a:prstGeom>
                  </pic:spPr>
                </pic:pic>
              </a:graphicData>
            </a:graphic>
          </wp:inline>
        </w:drawing>
      </w:r>
      <w:r>
        <w:rPr>
          <w:rFonts w:ascii="Arial" w:eastAsia="Arial" w:hAnsi="Arial" w:cs="Arial"/>
          <w:b/>
          <w:bCs/>
          <w:sz w:val="56"/>
          <w:szCs w:val="56"/>
        </w:rPr>
        <w:t xml:space="preserve"> </w:t>
      </w:r>
    </w:p>
    <w:p>
      <w:pPr>
        <w:spacing w:after="5"/>
        <w:ind w:left="10" w:right="622"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pPr>
        <w:spacing w:after="5"/>
        <w:ind w:left="10" w:hanging="10"/>
        <w:rPr>
          <w:rFonts w:ascii="Arial" w:eastAsia="Arial" w:hAnsi="Arial" w:cs="Arial"/>
          <w:sz w:val="24"/>
          <w:szCs w:val="24"/>
        </w:rPr>
      </w:pPr>
      <w:r>
        <w:rPr>
          <w:rFonts w:ascii="Arial" w:eastAsia="Arial" w:hAnsi="Arial" w:cs="Arial"/>
          <w:sz w:val="24"/>
          <w:szCs w:val="24"/>
        </w:rPr>
        <w:t xml:space="preserve"> </w:t>
      </w:r>
    </w:p>
    <w:p>
      <w:pPr>
        <w:spacing w:after="199"/>
        <w:ind w:left="10" w:hanging="10"/>
        <w:jc w:val="center"/>
        <w:rPr>
          <w:rFonts w:ascii="Arial" w:eastAsia="Arial" w:hAnsi="Arial" w:cs="Arial"/>
          <w:sz w:val="40"/>
          <w:szCs w:val="40"/>
        </w:rPr>
      </w:pPr>
      <w:r>
        <w:rPr>
          <w:rFonts w:ascii="Arial" w:eastAsia="Arial" w:hAnsi="Arial" w:cs="Arial"/>
          <w:b/>
          <w:bCs/>
          <w:sz w:val="40"/>
          <w:szCs w:val="40"/>
        </w:rPr>
        <w:t>Pupil Premium Funding Strategy</w:t>
      </w:r>
    </w:p>
    <w:p>
      <w:pPr>
        <w:spacing w:after="28"/>
        <w:ind w:left="720" w:hanging="10"/>
        <w:rPr>
          <w:rFonts w:ascii="Arial" w:eastAsia="Arial" w:hAnsi="Arial" w:cs="Arial"/>
          <w:sz w:val="24"/>
          <w:szCs w:val="24"/>
        </w:rPr>
      </w:pPr>
      <w:r>
        <w:rPr>
          <w:rFonts w:ascii="Arial" w:eastAsia="Arial" w:hAnsi="Arial" w:cs="Arial"/>
          <w:sz w:val="24"/>
          <w:szCs w:val="24"/>
        </w:rPr>
        <w:t xml:space="preserve"> </w:t>
      </w:r>
    </w:p>
    <w:tbl>
      <w:tblPr>
        <w:tblStyle w:val="TableGrid"/>
        <w:tblW w:w="0" w:type="auto"/>
        <w:tblLayout w:type="fixed"/>
        <w:tblLook w:val="04A0" w:firstRow="1" w:lastRow="0" w:firstColumn="1" w:lastColumn="0" w:noHBand="0" w:noVBand="1"/>
      </w:tblPr>
      <w:tblGrid>
        <w:gridCol w:w="2256"/>
        <w:gridCol w:w="2256"/>
        <w:gridCol w:w="2256"/>
        <w:gridCol w:w="2256"/>
      </w:tblGrid>
      <w:tr>
        <w:tc>
          <w:tcPr>
            <w:tcW w:w="2256" w:type="dxa"/>
          </w:tcPr>
          <w:p>
            <w:pPr>
              <w:spacing w:after="200" w:line="276" w:lineRule="auto"/>
              <w:rPr>
                <w:rFonts w:ascii="Arial" w:eastAsia="Arial" w:hAnsi="Arial" w:cs="Arial"/>
                <w:sz w:val="24"/>
                <w:szCs w:val="24"/>
              </w:rPr>
            </w:pPr>
            <w:r>
              <w:rPr>
                <w:rFonts w:ascii="Arial" w:eastAsia="Arial" w:hAnsi="Arial" w:cs="Arial"/>
                <w:b/>
                <w:bCs/>
                <w:sz w:val="24"/>
                <w:szCs w:val="24"/>
              </w:rPr>
              <w:t>Review Cycle</w:t>
            </w:r>
          </w:p>
        </w:tc>
        <w:tc>
          <w:tcPr>
            <w:tcW w:w="2256" w:type="dxa"/>
          </w:tcPr>
          <w:p>
            <w:pPr>
              <w:spacing w:after="200" w:line="276" w:lineRule="auto"/>
              <w:rPr>
                <w:rFonts w:ascii="Arial" w:eastAsia="Arial" w:hAnsi="Arial" w:cs="Arial"/>
                <w:sz w:val="24"/>
                <w:szCs w:val="24"/>
              </w:rPr>
            </w:pPr>
            <w:r>
              <w:rPr>
                <w:rFonts w:ascii="Arial" w:eastAsia="Arial" w:hAnsi="Arial" w:cs="Arial"/>
                <w:b/>
                <w:bCs/>
                <w:sz w:val="24"/>
                <w:szCs w:val="24"/>
              </w:rPr>
              <w:t>Date of Current Policy</w:t>
            </w:r>
          </w:p>
        </w:tc>
        <w:tc>
          <w:tcPr>
            <w:tcW w:w="2256" w:type="dxa"/>
          </w:tcPr>
          <w:p>
            <w:pPr>
              <w:spacing w:after="200" w:line="276" w:lineRule="auto"/>
              <w:rPr>
                <w:rFonts w:ascii="Arial" w:eastAsia="Arial" w:hAnsi="Arial" w:cs="Arial"/>
                <w:sz w:val="24"/>
                <w:szCs w:val="24"/>
              </w:rPr>
            </w:pPr>
            <w:r>
              <w:rPr>
                <w:rFonts w:ascii="Arial" w:eastAsia="Arial" w:hAnsi="Arial" w:cs="Arial"/>
                <w:b/>
                <w:bCs/>
                <w:sz w:val="24"/>
                <w:szCs w:val="24"/>
              </w:rPr>
              <w:t xml:space="preserve">Author(s) of Current Policy </w:t>
            </w:r>
          </w:p>
        </w:tc>
        <w:tc>
          <w:tcPr>
            <w:tcW w:w="2256" w:type="dxa"/>
          </w:tcPr>
          <w:p>
            <w:pPr>
              <w:spacing w:after="200" w:line="276" w:lineRule="auto"/>
              <w:rPr>
                <w:rFonts w:ascii="Arial" w:eastAsia="Arial" w:hAnsi="Arial" w:cs="Arial"/>
                <w:sz w:val="24"/>
                <w:szCs w:val="24"/>
              </w:rPr>
            </w:pPr>
            <w:r>
              <w:rPr>
                <w:rFonts w:ascii="Arial" w:eastAsia="Arial" w:hAnsi="Arial" w:cs="Arial"/>
                <w:b/>
                <w:bCs/>
                <w:sz w:val="24"/>
                <w:szCs w:val="24"/>
              </w:rPr>
              <w:t>Review Date</w:t>
            </w:r>
          </w:p>
        </w:tc>
      </w:tr>
      <w:tr>
        <w:tc>
          <w:tcPr>
            <w:tcW w:w="2256" w:type="dxa"/>
          </w:tcPr>
          <w:p>
            <w:pPr>
              <w:spacing w:after="200" w:line="276" w:lineRule="auto"/>
              <w:rPr>
                <w:rFonts w:ascii="Arial" w:eastAsia="Arial" w:hAnsi="Arial" w:cs="Arial"/>
                <w:sz w:val="24"/>
                <w:szCs w:val="24"/>
              </w:rPr>
            </w:pPr>
            <w:r>
              <w:rPr>
                <w:rFonts w:ascii="Arial" w:eastAsia="Arial" w:hAnsi="Arial" w:cs="Arial"/>
                <w:sz w:val="24"/>
                <w:szCs w:val="24"/>
              </w:rPr>
              <w:t>Annual</w:t>
            </w:r>
          </w:p>
        </w:tc>
        <w:tc>
          <w:tcPr>
            <w:tcW w:w="2256" w:type="dxa"/>
          </w:tcPr>
          <w:p>
            <w:pPr>
              <w:spacing w:after="200" w:line="276" w:lineRule="auto"/>
              <w:rPr>
                <w:rFonts w:ascii="Arial" w:eastAsia="Arial" w:hAnsi="Arial" w:cs="Arial"/>
                <w:sz w:val="24"/>
                <w:szCs w:val="24"/>
              </w:rPr>
            </w:pPr>
            <w:r>
              <w:rPr>
                <w:rFonts w:ascii="Arial" w:eastAsia="Arial" w:hAnsi="Arial" w:cs="Arial"/>
                <w:sz w:val="24"/>
                <w:szCs w:val="24"/>
              </w:rPr>
              <w:t>September 2020</w:t>
            </w:r>
          </w:p>
        </w:tc>
        <w:tc>
          <w:tcPr>
            <w:tcW w:w="2256" w:type="dxa"/>
          </w:tcPr>
          <w:p>
            <w:pPr>
              <w:spacing w:after="200" w:line="276" w:lineRule="auto"/>
              <w:rPr>
                <w:rFonts w:ascii="Arial" w:eastAsia="Arial" w:hAnsi="Arial" w:cs="Arial"/>
                <w:sz w:val="24"/>
                <w:szCs w:val="24"/>
              </w:rPr>
            </w:pPr>
            <w:r>
              <w:rPr>
                <w:rFonts w:ascii="Arial" w:eastAsia="Arial" w:hAnsi="Arial" w:cs="Arial"/>
                <w:sz w:val="24"/>
                <w:szCs w:val="24"/>
              </w:rPr>
              <w:t>Craig Abbs</w:t>
            </w:r>
          </w:p>
        </w:tc>
        <w:tc>
          <w:tcPr>
            <w:tcW w:w="2256" w:type="dxa"/>
          </w:tcPr>
          <w:p>
            <w:pPr>
              <w:spacing w:after="200" w:line="276" w:lineRule="auto"/>
              <w:rPr>
                <w:rFonts w:ascii="Arial" w:eastAsia="Arial" w:hAnsi="Arial" w:cs="Arial"/>
                <w:sz w:val="24"/>
                <w:szCs w:val="24"/>
              </w:rPr>
            </w:pPr>
            <w:r>
              <w:rPr>
                <w:rFonts w:ascii="Arial" w:eastAsia="Arial" w:hAnsi="Arial" w:cs="Arial"/>
                <w:sz w:val="24"/>
                <w:szCs w:val="24"/>
              </w:rPr>
              <w:t>September 2021</w:t>
            </w:r>
            <w:bookmarkStart w:id="0" w:name="_GoBack"/>
            <w:bookmarkEnd w:id="0"/>
          </w:p>
        </w:tc>
      </w:tr>
    </w:tbl>
    <w:p>
      <w:pPr>
        <w:spacing w:after="200" w:line="240" w:lineRule="auto"/>
        <w:rPr>
          <w:rFonts w:ascii="Arial" w:eastAsia="Arial" w:hAnsi="Arial" w:cs="Arial"/>
          <w:sz w:val="24"/>
          <w:szCs w:val="24"/>
        </w:rPr>
      </w:pPr>
    </w:p>
    <w:p>
      <w:pPr>
        <w:spacing w:line="240" w:lineRule="auto"/>
        <w:rPr>
          <w:rFonts w:ascii="Arial" w:eastAsia="Arial" w:hAnsi="Arial" w:cs="Arial"/>
          <w:sz w:val="24"/>
          <w:szCs w:val="24"/>
        </w:rPr>
      </w:pPr>
      <w:r>
        <w:rPr>
          <w:rFonts w:ascii="Arial" w:eastAsia="Arial" w:hAnsi="Arial" w:cs="Arial"/>
          <w:b/>
          <w:bCs/>
          <w:sz w:val="24"/>
          <w:szCs w:val="24"/>
        </w:rPr>
        <w:t>Ratification</w:t>
      </w:r>
    </w:p>
    <w:tbl>
      <w:tblPr>
        <w:tblStyle w:val="TableGrid"/>
        <w:tblW w:w="0" w:type="auto"/>
        <w:tblLayout w:type="fixed"/>
        <w:tblLook w:val="04A0" w:firstRow="1" w:lastRow="0" w:firstColumn="1" w:lastColumn="0" w:noHBand="0" w:noVBand="1"/>
      </w:tblPr>
      <w:tblGrid>
        <w:gridCol w:w="2256"/>
        <w:gridCol w:w="2256"/>
        <w:gridCol w:w="2256"/>
        <w:gridCol w:w="2256"/>
      </w:tblGrid>
      <w:tr>
        <w:tc>
          <w:tcPr>
            <w:tcW w:w="2256" w:type="dxa"/>
          </w:tcPr>
          <w:p>
            <w:pPr>
              <w:rPr>
                <w:rFonts w:ascii="Arial" w:eastAsia="Arial" w:hAnsi="Arial" w:cs="Arial"/>
                <w:sz w:val="24"/>
                <w:szCs w:val="24"/>
              </w:rPr>
            </w:pPr>
            <w:r>
              <w:rPr>
                <w:rFonts w:ascii="Arial" w:eastAsia="Arial" w:hAnsi="Arial" w:cs="Arial"/>
                <w:b/>
                <w:bCs/>
                <w:sz w:val="24"/>
                <w:szCs w:val="24"/>
              </w:rPr>
              <w:t>Role</w:t>
            </w:r>
          </w:p>
        </w:tc>
        <w:tc>
          <w:tcPr>
            <w:tcW w:w="2256" w:type="dxa"/>
          </w:tcPr>
          <w:p>
            <w:pPr>
              <w:rPr>
                <w:rFonts w:ascii="Arial" w:eastAsia="Arial" w:hAnsi="Arial" w:cs="Arial"/>
                <w:sz w:val="24"/>
                <w:szCs w:val="24"/>
              </w:rPr>
            </w:pPr>
            <w:r>
              <w:rPr>
                <w:rFonts w:ascii="Arial" w:eastAsia="Arial" w:hAnsi="Arial" w:cs="Arial"/>
                <w:b/>
                <w:bCs/>
                <w:sz w:val="24"/>
                <w:szCs w:val="24"/>
              </w:rPr>
              <w:t>Name</w:t>
            </w:r>
          </w:p>
        </w:tc>
        <w:tc>
          <w:tcPr>
            <w:tcW w:w="2256" w:type="dxa"/>
          </w:tcPr>
          <w:p>
            <w:pPr>
              <w:rPr>
                <w:rFonts w:ascii="Arial" w:eastAsia="Arial" w:hAnsi="Arial" w:cs="Arial"/>
                <w:sz w:val="24"/>
                <w:szCs w:val="24"/>
              </w:rPr>
            </w:pPr>
            <w:r>
              <w:rPr>
                <w:rFonts w:ascii="Arial" w:eastAsia="Arial" w:hAnsi="Arial" w:cs="Arial"/>
                <w:b/>
                <w:bCs/>
                <w:sz w:val="24"/>
                <w:szCs w:val="24"/>
              </w:rPr>
              <w:t>Signature</w:t>
            </w:r>
          </w:p>
        </w:tc>
        <w:tc>
          <w:tcPr>
            <w:tcW w:w="2256" w:type="dxa"/>
          </w:tcPr>
          <w:p>
            <w:pPr>
              <w:rPr>
                <w:rFonts w:ascii="Arial" w:eastAsia="Arial" w:hAnsi="Arial" w:cs="Arial"/>
                <w:sz w:val="24"/>
                <w:szCs w:val="24"/>
              </w:rPr>
            </w:pPr>
            <w:r>
              <w:rPr>
                <w:rFonts w:ascii="Arial" w:eastAsia="Arial" w:hAnsi="Arial" w:cs="Arial"/>
                <w:b/>
                <w:bCs/>
                <w:sz w:val="24"/>
                <w:szCs w:val="24"/>
              </w:rPr>
              <w:t>Date</w:t>
            </w:r>
          </w:p>
        </w:tc>
      </w:tr>
      <w:tr>
        <w:tc>
          <w:tcPr>
            <w:tcW w:w="2256" w:type="dxa"/>
          </w:tcPr>
          <w:p>
            <w:pPr>
              <w:rPr>
                <w:rFonts w:ascii="Arial" w:eastAsia="Arial" w:hAnsi="Arial" w:cs="Arial"/>
                <w:sz w:val="24"/>
                <w:szCs w:val="24"/>
              </w:rPr>
            </w:pPr>
            <w:r>
              <w:rPr>
                <w:rFonts w:ascii="Arial" w:eastAsia="Arial" w:hAnsi="Arial" w:cs="Arial"/>
                <w:b/>
                <w:bCs/>
                <w:sz w:val="24"/>
                <w:szCs w:val="24"/>
              </w:rPr>
              <w:t>Chair of Academy Council</w:t>
            </w:r>
          </w:p>
        </w:tc>
        <w:tc>
          <w:tcPr>
            <w:tcW w:w="2256" w:type="dxa"/>
          </w:tcPr>
          <w:p>
            <w:pPr>
              <w:rPr>
                <w:rFonts w:ascii="Arial" w:eastAsia="Arial" w:hAnsi="Arial" w:cs="Arial"/>
                <w:sz w:val="24"/>
                <w:szCs w:val="24"/>
              </w:rPr>
            </w:pPr>
            <w:r>
              <w:rPr>
                <w:rFonts w:ascii="Arial" w:eastAsia="Arial" w:hAnsi="Arial" w:cs="Arial"/>
                <w:sz w:val="24"/>
                <w:szCs w:val="24"/>
              </w:rPr>
              <w:t>Andrea Wills</w:t>
            </w:r>
          </w:p>
        </w:tc>
        <w:tc>
          <w:tcPr>
            <w:tcW w:w="2256" w:type="dxa"/>
          </w:tcPr>
          <w:p>
            <w:pPr>
              <w:rPr>
                <w:rFonts w:ascii="Bradley Hand ITC" w:eastAsia="Arial" w:hAnsi="Bradley Hand ITC" w:cs="Arial"/>
                <w:sz w:val="24"/>
                <w:szCs w:val="24"/>
              </w:rPr>
            </w:pPr>
            <w:proofErr w:type="spellStart"/>
            <w:proofErr w:type="gramStart"/>
            <w:r>
              <w:rPr>
                <w:rFonts w:ascii="Bradley Hand ITC" w:eastAsia="Arial" w:hAnsi="Bradley Hand ITC" w:cs="Arial"/>
                <w:sz w:val="24"/>
                <w:szCs w:val="24"/>
              </w:rPr>
              <w:t>A.Wills</w:t>
            </w:r>
            <w:proofErr w:type="spellEnd"/>
            <w:proofErr w:type="gramEnd"/>
          </w:p>
        </w:tc>
        <w:tc>
          <w:tcPr>
            <w:tcW w:w="2256" w:type="dxa"/>
          </w:tcPr>
          <w:p>
            <w:pPr>
              <w:rPr>
                <w:rFonts w:ascii="Arial" w:eastAsia="Arial" w:hAnsi="Arial" w:cs="Arial"/>
                <w:sz w:val="24"/>
                <w:szCs w:val="24"/>
              </w:rPr>
            </w:pPr>
            <w:r>
              <w:rPr>
                <w:rFonts w:ascii="Arial" w:eastAsia="Arial" w:hAnsi="Arial" w:cs="Arial"/>
                <w:sz w:val="24"/>
                <w:szCs w:val="24"/>
              </w:rPr>
              <w:t>September 2022</w:t>
            </w:r>
          </w:p>
        </w:tc>
      </w:tr>
      <w:tr>
        <w:tc>
          <w:tcPr>
            <w:tcW w:w="2256" w:type="dxa"/>
          </w:tcPr>
          <w:p>
            <w:pPr>
              <w:rPr>
                <w:rFonts w:ascii="Arial" w:eastAsia="Arial" w:hAnsi="Arial" w:cs="Arial"/>
                <w:sz w:val="24"/>
                <w:szCs w:val="24"/>
              </w:rPr>
            </w:pPr>
            <w:r>
              <w:rPr>
                <w:rFonts w:ascii="Arial" w:eastAsia="Arial" w:hAnsi="Arial" w:cs="Arial"/>
                <w:b/>
                <w:bCs/>
                <w:sz w:val="24"/>
                <w:szCs w:val="24"/>
              </w:rPr>
              <w:t>Head Teacher</w:t>
            </w:r>
          </w:p>
        </w:tc>
        <w:tc>
          <w:tcPr>
            <w:tcW w:w="2256" w:type="dxa"/>
          </w:tcPr>
          <w:p>
            <w:pPr>
              <w:rPr>
                <w:rFonts w:ascii="Arial" w:eastAsia="Arial" w:hAnsi="Arial" w:cs="Arial"/>
                <w:sz w:val="24"/>
                <w:szCs w:val="24"/>
              </w:rPr>
            </w:pPr>
          </w:p>
        </w:tc>
        <w:tc>
          <w:tcPr>
            <w:tcW w:w="2256" w:type="dxa"/>
          </w:tcPr>
          <w:p>
            <w:pPr>
              <w:rPr>
                <w:rFonts w:ascii="Bradley Hand ITC" w:eastAsia="Bradley Hand ITC" w:hAnsi="Bradley Hand ITC" w:cs="Bradley Hand ITC"/>
                <w:sz w:val="24"/>
                <w:szCs w:val="24"/>
              </w:rPr>
            </w:pPr>
          </w:p>
        </w:tc>
        <w:tc>
          <w:tcPr>
            <w:tcW w:w="2256" w:type="dxa"/>
          </w:tcPr>
          <w:p>
            <w:pPr>
              <w:rPr>
                <w:rFonts w:ascii="Arial" w:eastAsia="Arial" w:hAnsi="Arial" w:cs="Arial"/>
                <w:sz w:val="24"/>
                <w:szCs w:val="24"/>
              </w:rPr>
            </w:pPr>
          </w:p>
        </w:tc>
      </w:tr>
    </w:tbl>
    <w:p>
      <w:pPr>
        <w:spacing w:line="240" w:lineRule="auto"/>
        <w:rPr>
          <w:rFonts w:ascii="Arial" w:eastAsia="Arial" w:hAnsi="Arial" w:cs="Arial"/>
          <w:sz w:val="24"/>
          <w:szCs w:val="24"/>
        </w:rPr>
      </w:pPr>
    </w:p>
    <w:p>
      <w:pPr>
        <w:spacing w:after="200" w:line="276" w:lineRule="auto"/>
        <w:ind w:right="-755"/>
        <w:rPr>
          <w:rFonts w:ascii="Arial" w:eastAsia="Arial" w:hAnsi="Arial" w:cs="Arial"/>
          <w:sz w:val="24"/>
          <w:szCs w:val="24"/>
        </w:rPr>
      </w:pPr>
      <w:r>
        <w:rPr>
          <w:rFonts w:ascii="Arial" w:eastAsia="Arial" w:hAnsi="Arial" w:cs="Arial"/>
          <w:b/>
          <w:bCs/>
          <w:sz w:val="24"/>
          <w:szCs w:val="24"/>
        </w:rPr>
        <w:t>Details of Strategy Updates</w:t>
      </w:r>
    </w:p>
    <w:tbl>
      <w:tblPr>
        <w:tblStyle w:val="TableGrid"/>
        <w:tblW w:w="0" w:type="auto"/>
        <w:tblLayout w:type="fixed"/>
        <w:tblLook w:val="04A0" w:firstRow="1" w:lastRow="0" w:firstColumn="1" w:lastColumn="0" w:noHBand="0" w:noVBand="1"/>
      </w:tblPr>
      <w:tblGrid>
        <w:gridCol w:w="4513"/>
        <w:gridCol w:w="4513"/>
      </w:tblGrid>
      <w:tr>
        <w:tc>
          <w:tcPr>
            <w:tcW w:w="4513" w:type="dxa"/>
          </w:tcPr>
          <w:p>
            <w:pPr>
              <w:spacing w:after="200" w:line="276" w:lineRule="auto"/>
              <w:ind w:right="-755"/>
              <w:rPr>
                <w:rFonts w:ascii="Arial" w:eastAsia="Arial" w:hAnsi="Arial" w:cs="Arial"/>
                <w:sz w:val="24"/>
                <w:szCs w:val="24"/>
              </w:rPr>
            </w:pPr>
            <w:r>
              <w:rPr>
                <w:rFonts w:ascii="Arial" w:eastAsia="Arial" w:hAnsi="Arial" w:cs="Arial"/>
                <w:b/>
                <w:bCs/>
                <w:sz w:val="24"/>
                <w:szCs w:val="24"/>
              </w:rPr>
              <w:t>Date</w:t>
            </w:r>
          </w:p>
        </w:tc>
        <w:tc>
          <w:tcPr>
            <w:tcW w:w="4513" w:type="dxa"/>
          </w:tcPr>
          <w:p>
            <w:pPr>
              <w:spacing w:after="200" w:line="276" w:lineRule="auto"/>
              <w:ind w:right="-755"/>
              <w:rPr>
                <w:rFonts w:ascii="Arial" w:eastAsia="Arial" w:hAnsi="Arial" w:cs="Arial"/>
                <w:sz w:val="24"/>
                <w:szCs w:val="24"/>
              </w:rPr>
            </w:pPr>
            <w:r>
              <w:rPr>
                <w:rFonts w:ascii="Arial" w:eastAsia="Arial" w:hAnsi="Arial" w:cs="Arial"/>
                <w:b/>
                <w:bCs/>
                <w:sz w:val="24"/>
                <w:szCs w:val="24"/>
              </w:rPr>
              <w:t>Details</w:t>
            </w:r>
          </w:p>
        </w:tc>
      </w:tr>
      <w:tr>
        <w:tc>
          <w:tcPr>
            <w:tcW w:w="4513" w:type="dxa"/>
          </w:tcPr>
          <w:p>
            <w:pPr>
              <w:spacing w:after="200" w:line="276" w:lineRule="auto"/>
              <w:ind w:right="-755"/>
              <w:jc w:val="center"/>
              <w:rPr>
                <w:rFonts w:ascii="Arial" w:eastAsia="Arial" w:hAnsi="Arial" w:cs="Arial"/>
                <w:sz w:val="24"/>
                <w:szCs w:val="24"/>
              </w:rPr>
            </w:pPr>
          </w:p>
        </w:tc>
        <w:tc>
          <w:tcPr>
            <w:tcW w:w="4513" w:type="dxa"/>
          </w:tcPr>
          <w:p>
            <w:pPr>
              <w:spacing w:after="200" w:line="276" w:lineRule="auto"/>
              <w:ind w:right="-755"/>
              <w:rPr>
                <w:rFonts w:ascii="Arial" w:eastAsia="Arial" w:hAnsi="Arial" w:cs="Arial"/>
                <w:sz w:val="24"/>
                <w:szCs w:val="24"/>
              </w:rPr>
            </w:pPr>
          </w:p>
        </w:tc>
      </w:tr>
    </w:tbl>
    <w:p/>
    <w:p/>
    <w:p/>
    <w:p/>
    <w:p>
      <w:pPr>
        <w:pStyle w:val="NormalWeb"/>
        <w:jc w:val="center"/>
        <w:rPr>
          <w:rFonts w:asciiTheme="minorHAnsi" w:hAnsiTheme="minorHAnsi" w:cstheme="minorHAnsi"/>
          <w:b/>
          <w:color w:val="000000"/>
          <w:szCs w:val="27"/>
          <w:u w:val="single"/>
        </w:rPr>
      </w:pPr>
      <w:r>
        <w:rPr>
          <w:rFonts w:asciiTheme="minorHAnsi" w:hAnsiTheme="minorHAnsi" w:cstheme="minorHAnsi"/>
          <w:b/>
          <w:color w:val="7030A0"/>
          <w:szCs w:val="27"/>
          <w:u w:val="single"/>
        </w:rPr>
        <w:lastRenderedPageBreak/>
        <w:t xml:space="preserve">Soundwell </w:t>
      </w:r>
      <w:r>
        <w:rPr>
          <w:rFonts w:asciiTheme="minorHAnsi" w:hAnsiTheme="minorHAnsi" w:cstheme="minorHAnsi"/>
          <w:b/>
          <w:color w:val="000000"/>
          <w:szCs w:val="27"/>
          <w:u w:val="single"/>
        </w:rPr>
        <w:t>Pupil Premium Plan 2019-20</w:t>
      </w:r>
    </w:p>
    <w:p>
      <w:pPr>
        <w:pStyle w:val="NormalWeb"/>
        <w:rPr>
          <w:rFonts w:asciiTheme="minorHAnsi" w:hAnsiTheme="minorHAnsi" w:cstheme="minorHAnsi"/>
          <w:b/>
          <w:color w:val="000000"/>
          <w:szCs w:val="27"/>
        </w:rPr>
      </w:pPr>
      <w:r>
        <w:rPr>
          <w:rFonts w:asciiTheme="minorHAnsi" w:hAnsiTheme="minorHAnsi" w:cstheme="minorHAnsi"/>
          <w:b/>
          <w:color w:val="000000"/>
          <w:szCs w:val="27"/>
        </w:rPr>
        <w:t>Pupil Premium</w:t>
      </w:r>
    </w:p>
    <w:p>
      <w:pPr>
        <w:pStyle w:val="NormalWeb"/>
        <w:rPr>
          <w:rFonts w:asciiTheme="minorHAnsi" w:hAnsiTheme="minorHAnsi" w:cstheme="minorHAnsi"/>
          <w:color w:val="000000"/>
          <w:szCs w:val="27"/>
        </w:rPr>
      </w:pPr>
      <w:r>
        <w:rPr>
          <w:rFonts w:asciiTheme="minorHAnsi" w:hAnsiTheme="minorHAnsi" w:cstheme="minorHAnsi"/>
          <w:color w:val="000000"/>
          <w:szCs w:val="27"/>
        </w:rPr>
        <w:t>The pupil premium is additional funding for publicly funded schools in England.</w:t>
      </w:r>
    </w:p>
    <w:p>
      <w:pPr>
        <w:pStyle w:val="NormalWeb"/>
        <w:rPr>
          <w:rFonts w:asciiTheme="minorHAnsi" w:hAnsiTheme="minorHAnsi" w:cstheme="minorHAnsi"/>
          <w:color w:val="000000"/>
          <w:szCs w:val="27"/>
        </w:rPr>
      </w:pPr>
      <w:r>
        <w:rPr>
          <w:rFonts w:asciiTheme="minorHAnsi" w:hAnsiTheme="minorHAnsi" w:cstheme="minorHAnsi"/>
          <w:color w:val="000000"/>
          <w:szCs w:val="27"/>
        </w:rPr>
        <w:t>It’s designed to help disadvantaged pupils of all abilities perform better, and close the gap between them and their peers.</w:t>
      </w:r>
    </w:p>
    <w:p>
      <w:pPr>
        <w:pStyle w:val="NormalWeb"/>
        <w:rPr>
          <w:rFonts w:asciiTheme="minorHAnsi" w:hAnsiTheme="minorHAnsi" w:cstheme="minorHAnsi"/>
          <w:color w:val="000000"/>
          <w:szCs w:val="27"/>
        </w:rPr>
      </w:pPr>
      <w:r>
        <w:rPr>
          <w:rFonts w:asciiTheme="minorHAnsi" w:hAnsiTheme="minorHAnsi" w:cstheme="minorHAnsi"/>
          <w:color w:val="000000"/>
          <w:szCs w:val="27"/>
        </w:rPr>
        <w:t>For the 2020 to 2021 financial year, schools receive the following funding for each pupil registered as eligible for free school meals (FSM) at any point in the last 6 years:</w:t>
      </w:r>
    </w:p>
    <w:p>
      <w:pPr>
        <w:pStyle w:val="NormalWeb"/>
        <w:rPr>
          <w:rFonts w:asciiTheme="minorHAnsi" w:hAnsiTheme="minorHAnsi" w:cstheme="minorHAnsi"/>
          <w:color w:val="000000"/>
          <w:szCs w:val="27"/>
        </w:rPr>
      </w:pPr>
      <w:r>
        <w:rPr>
          <w:rFonts w:asciiTheme="minorHAnsi" w:hAnsiTheme="minorHAnsi" w:cstheme="minorHAnsi"/>
          <w:color w:val="000000"/>
          <w:szCs w:val="27"/>
        </w:rPr>
        <w:t>· £1,345 for pupils in reception to year 6</w:t>
      </w:r>
    </w:p>
    <w:p>
      <w:pPr>
        <w:pStyle w:val="NormalWeb"/>
        <w:rPr>
          <w:rFonts w:asciiTheme="minorHAnsi" w:hAnsiTheme="minorHAnsi" w:cstheme="minorHAnsi"/>
          <w:color w:val="000000"/>
          <w:szCs w:val="27"/>
        </w:rPr>
      </w:pPr>
      <w:r>
        <w:rPr>
          <w:rFonts w:asciiTheme="minorHAnsi" w:hAnsiTheme="minorHAnsi" w:cstheme="minorHAnsi"/>
          <w:color w:val="000000"/>
          <w:szCs w:val="27"/>
        </w:rPr>
        <w:t>· £955 for pupils in year 7 to year 11</w:t>
      </w:r>
    </w:p>
    <w:p>
      <w:pPr>
        <w:pStyle w:val="NormalWeb"/>
        <w:rPr>
          <w:rFonts w:asciiTheme="minorHAnsi" w:hAnsiTheme="minorHAnsi" w:cstheme="minorHAnsi"/>
          <w:color w:val="000000"/>
          <w:szCs w:val="27"/>
        </w:rPr>
      </w:pPr>
      <w:r>
        <w:rPr>
          <w:rFonts w:asciiTheme="minorHAnsi" w:hAnsiTheme="minorHAnsi" w:cstheme="minorHAnsi"/>
          <w:color w:val="000000"/>
          <w:szCs w:val="27"/>
        </w:rPr>
        <w:t>This grant, which is additional to main school funding, is seen by the government as the best way to address the current underlying inequalities between children eligible for free school meals (FSM) and their wealthier peers, by ensuring that funding to tackle disadvantage reaches the pupils who need it most. The Pupil Premium is allocated to schools and is clearly identifiable. Schools can decide how the Pupil Premium is spent, since they are best placed to assess what additional provision should be made for the individual pupils within their responsibility.</w:t>
      </w:r>
    </w:p>
    <w:p>
      <w:pPr>
        <w:pStyle w:val="NormalWeb"/>
        <w:rPr>
          <w:rFonts w:asciiTheme="minorHAnsi" w:hAnsiTheme="minorHAnsi" w:cstheme="minorHAnsi"/>
          <w:b/>
          <w:color w:val="000000"/>
          <w:szCs w:val="27"/>
        </w:rPr>
      </w:pPr>
      <w:r>
        <w:rPr>
          <w:rFonts w:asciiTheme="minorHAnsi" w:hAnsiTheme="minorHAnsi" w:cstheme="minorHAnsi"/>
          <w:b/>
          <w:color w:val="000000"/>
          <w:szCs w:val="27"/>
        </w:rPr>
        <w:t>Context of the Academy</w:t>
      </w:r>
    </w:p>
    <w:p>
      <w:pPr>
        <w:pStyle w:val="NormalWeb"/>
        <w:rPr>
          <w:rFonts w:asciiTheme="minorHAnsi" w:hAnsiTheme="minorHAnsi" w:cstheme="minorHAnsi"/>
          <w:color w:val="000000"/>
          <w:szCs w:val="27"/>
        </w:rPr>
      </w:pPr>
      <w:r>
        <w:rPr>
          <w:rFonts w:asciiTheme="minorHAnsi" w:hAnsiTheme="minorHAnsi" w:cstheme="minorHAnsi"/>
          <w:color w:val="000000"/>
          <w:szCs w:val="27"/>
        </w:rPr>
        <w:t>· Our current planned place number is 28. The Academy has been designed to educate young people from KS1 to KS3 with SEMH, SLCN and ASC needs.</w:t>
      </w:r>
    </w:p>
    <w:p>
      <w:pPr>
        <w:pStyle w:val="NormalWeb"/>
        <w:rPr>
          <w:rFonts w:asciiTheme="minorHAnsi" w:hAnsiTheme="minorHAnsi" w:cstheme="minorHAnsi"/>
          <w:color w:val="000000"/>
          <w:szCs w:val="27"/>
        </w:rPr>
      </w:pPr>
      <w:r>
        <w:rPr>
          <w:rFonts w:asciiTheme="minorHAnsi" w:hAnsiTheme="minorHAnsi" w:cstheme="minorHAnsi"/>
          <w:color w:val="000000"/>
          <w:szCs w:val="27"/>
        </w:rPr>
        <w:t xml:space="preserve">· Soundwell is a new Academy and part of Learn@ Mat. Starting with 28 pupils in a temporary build and expanding to 136 pupils in a permanent build. </w:t>
      </w:r>
    </w:p>
    <w:p>
      <w:pPr>
        <w:pStyle w:val="NormalWeb"/>
        <w:rPr>
          <w:rFonts w:asciiTheme="minorHAnsi" w:hAnsiTheme="minorHAnsi" w:cstheme="minorHAnsi"/>
          <w:b/>
          <w:color w:val="000000"/>
          <w:szCs w:val="27"/>
        </w:rPr>
      </w:pPr>
      <w:r>
        <w:rPr>
          <w:rFonts w:asciiTheme="minorHAnsi" w:hAnsiTheme="minorHAnsi" w:cstheme="minorHAnsi"/>
          <w:b/>
          <w:color w:val="000000"/>
          <w:szCs w:val="27"/>
        </w:rPr>
        <w:t>Objectives of Pupil Premium spending</w:t>
      </w:r>
    </w:p>
    <w:p>
      <w:pPr>
        <w:pStyle w:val="NormalWeb"/>
        <w:rPr>
          <w:rFonts w:asciiTheme="minorHAnsi" w:hAnsiTheme="minorHAnsi" w:cstheme="minorHAnsi"/>
          <w:color w:val="000000"/>
          <w:szCs w:val="27"/>
        </w:rPr>
      </w:pPr>
      <w:r>
        <w:rPr>
          <w:rFonts w:asciiTheme="minorHAnsi" w:hAnsiTheme="minorHAnsi" w:cstheme="minorHAnsi"/>
          <w:color w:val="000000"/>
          <w:szCs w:val="27"/>
        </w:rPr>
        <w:t>At Soundwell, we support all our pupils. We do this by providing high quality teaching supplemented by interventions to support vulnerable learners as and when required. The Strategic Leadership Team and Academy Council monitor the impact of all spending and interventions, including the Pupil Premium.</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shd w:val="clear" w:color="auto" w:fill="D0CECE" w:themeFill="background2" w:themeFillShade="E6"/>
          </w:tcPr>
          <w:p>
            <w:r>
              <w:t>Academic Achievement</w:t>
            </w:r>
          </w:p>
        </w:tc>
        <w:tc>
          <w:tcPr>
            <w:tcW w:w="1803" w:type="dxa"/>
            <w:shd w:val="clear" w:color="auto" w:fill="FBE4D5" w:themeFill="accent2" w:themeFillTint="33"/>
          </w:tcPr>
          <w:p>
            <w:r>
              <w:t>Focusing on Social, Emotional and Mental Health support</w:t>
            </w:r>
          </w:p>
        </w:tc>
        <w:tc>
          <w:tcPr>
            <w:tcW w:w="1803" w:type="dxa"/>
            <w:shd w:val="clear" w:color="auto" w:fill="FFF2CC" w:themeFill="accent4" w:themeFillTint="33"/>
          </w:tcPr>
          <w:p>
            <w:r>
              <w:t>Focus on enrichment outside of the curriculum</w:t>
            </w:r>
          </w:p>
        </w:tc>
        <w:tc>
          <w:tcPr>
            <w:tcW w:w="1803" w:type="dxa"/>
            <w:shd w:val="clear" w:color="auto" w:fill="D9E2F3" w:themeFill="accent5" w:themeFillTint="33"/>
          </w:tcPr>
          <w:p>
            <w:r>
              <w:t>Family Support</w:t>
            </w:r>
          </w:p>
        </w:tc>
        <w:tc>
          <w:tcPr>
            <w:tcW w:w="1804" w:type="dxa"/>
            <w:shd w:val="clear" w:color="auto" w:fill="C5E0B3" w:themeFill="accent6" w:themeFillTint="66"/>
          </w:tcPr>
          <w:p>
            <w:r>
              <w:t>School Readiness</w:t>
            </w:r>
          </w:p>
        </w:tc>
      </w:tr>
    </w:tbl>
    <w:p/>
    <w:p>
      <w:pPr>
        <w:pStyle w:val="NormalWeb"/>
        <w:rPr>
          <w:rFonts w:asciiTheme="minorHAnsi" w:hAnsiTheme="minorHAnsi" w:cstheme="minorHAnsi"/>
          <w:b/>
          <w:color w:val="000000"/>
          <w:szCs w:val="27"/>
        </w:rPr>
      </w:pPr>
      <w:r>
        <w:rPr>
          <w:rFonts w:asciiTheme="minorHAnsi" w:hAnsiTheme="minorHAnsi" w:cstheme="minorHAnsi"/>
          <w:b/>
          <w:color w:val="000000"/>
          <w:szCs w:val="27"/>
        </w:rPr>
        <w:t>Pupil Premium funding 2020/21:</w:t>
      </w:r>
    </w:p>
    <w:p>
      <w:pPr>
        <w:pStyle w:val="NormalWeb"/>
        <w:rPr>
          <w:rFonts w:asciiTheme="minorHAnsi" w:hAnsiTheme="minorHAnsi" w:cstheme="minorHAnsi"/>
          <w:b/>
          <w:color w:val="000000"/>
          <w:szCs w:val="27"/>
        </w:rPr>
      </w:pPr>
      <w:r>
        <w:rPr>
          <w:rFonts w:asciiTheme="minorHAnsi" w:hAnsiTheme="minorHAnsi" w:cstheme="minorHAnsi"/>
          <w:b/>
          <w:color w:val="000000"/>
          <w:szCs w:val="27"/>
        </w:rPr>
        <w:t>Pupil Premium Spending</w:t>
      </w:r>
    </w:p>
    <w:p>
      <w:pPr>
        <w:pStyle w:val="NormalWeb"/>
        <w:rPr>
          <w:rFonts w:asciiTheme="minorHAnsi" w:hAnsiTheme="minorHAnsi" w:cstheme="minorHAnsi"/>
          <w:color w:val="000000"/>
          <w:szCs w:val="27"/>
        </w:rPr>
      </w:pPr>
      <w:r>
        <w:rPr>
          <w:rFonts w:asciiTheme="minorHAnsi" w:hAnsiTheme="minorHAnsi" w:cstheme="minorHAnsi"/>
          <w:color w:val="000000"/>
          <w:szCs w:val="27"/>
        </w:rPr>
        <w:lastRenderedPageBreak/>
        <w:t>The table below shows details of the planned spending of the 2020-21 Pupil premium budget.</w:t>
      </w:r>
    </w:p>
    <w:p>
      <w:pPr>
        <w:pStyle w:val="NormalWeb"/>
        <w:rPr>
          <w:color w:val="000000"/>
          <w:sz w:val="27"/>
          <w:szCs w:val="27"/>
        </w:rPr>
      </w:pPr>
      <w:r>
        <w:rPr>
          <w:rFonts w:asciiTheme="minorHAnsi" w:hAnsiTheme="minorHAnsi" w:cstheme="minorHAnsi"/>
          <w:color w:val="000000"/>
          <w:szCs w:val="27"/>
        </w:rPr>
        <w:t xml:space="preserve">The spending and the plan </w:t>
      </w:r>
      <w:proofErr w:type="gramStart"/>
      <w:r>
        <w:rPr>
          <w:rFonts w:asciiTheme="minorHAnsi" w:hAnsiTheme="minorHAnsi" w:cstheme="minorHAnsi"/>
          <w:color w:val="000000"/>
          <w:szCs w:val="27"/>
        </w:rPr>
        <w:t>is</w:t>
      </w:r>
      <w:proofErr w:type="gramEnd"/>
      <w:r>
        <w:rPr>
          <w:rFonts w:asciiTheme="minorHAnsi" w:hAnsiTheme="minorHAnsi" w:cstheme="minorHAnsi"/>
          <w:color w:val="000000"/>
          <w:szCs w:val="27"/>
        </w:rPr>
        <w:t xml:space="preserve"> reviewed</w:t>
      </w:r>
      <w:r>
        <w:rPr>
          <w:rFonts w:asciiTheme="minorHAnsi" w:hAnsiTheme="minorHAnsi" w:cstheme="minorHAnsi"/>
          <w:color w:val="000000"/>
          <w:sz w:val="22"/>
          <w:szCs w:val="27"/>
        </w:rPr>
        <w:t xml:space="preserve"> </w:t>
      </w:r>
      <w:r>
        <w:rPr>
          <w:rFonts w:asciiTheme="minorHAnsi" w:hAnsiTheme="minorHAnsi" w:cstheme="minorHAnsi"/>
          <w:color w:val="000000"/>
          <w:szCs w:val="27"/>
        </w:rPr>
        <w:t>and amended twice throughout the year based on updated progress data</w:t>
      </w:r>
      <w:r>
        <w:rPr>
          <w:color w:val="000000"/>
          <w:sz w:val="27"/>
          <w:szCs w:val="27"/>
        </w:rPr>
        <w:t>.</w:t>
      </w:r>
    </w:p>
    <w:tbl>
      <w:tblPr>
        <w:tblStyle w:val="TableGrid"/>
        <w:tblW w:w="0" w:type="auto"/>
        <w:tblLook w:val="04A0" w:firstRow="1" w:lastRow="0" w:firstColumn="1" w:lastColumn="0" w:noHBand="0" w:noVBand="1"/>
      </w:tblPr>
      <w:tblGrid>
        <w:gridCol w:w="3397"/>
        <w:gridCol w:w="1418"/>
        <w:gridCol w:w="4201"/>
      </w:tblGrid>
      <w:tr>
        <w:tc>
          <w:tcPr>
            <w:tcW w:w="3397" w:type="dxa"/>
          </w:tcPr>
          <w:p>
            <w:pPr>
              <w:rPr>
                <w:b/>
                <w:sz w:val="24"/>
              </w:rPr>
            </w:pPr>
            <w:r>
              <w:rPr>
                <w:b/>
                <w:sz w:val="24"/>
              </w:rPr>
              <w:t>Area</w:t>
            </w:r>
          </w:p>
        </w:tc>
        <w:tc>
          <w:tcPr>
            <w:tcW w:w="1418" w:type="dxa"/>
          </w:tcPr>
          <w:p>
            <w:pPr>
              <w:rPr>
                <w:b/>
                <w:sz w:val="24"/>
              </w:rPr>
            </w:pPr>
            <w:r>
              <w:rPr>
                <w:b/>
                <w:sz w:val="24"/>
              </w:rPr>
              <w:t>Cost</w:t>
            </w:r>
          </w:p>
        </w:tc>
        <w:tc>
          <w:tcPr>
            <w:tcW w:w="4201" w:type="dxa"/>
          </w:tcPr>
          <w:p>
            <w:pPr>
              <w:rPr>
                <w:b/>
                <w:sz w:val="24"/>
              </w:rPr>
            </w:pPr>
            <w:r>
              <w:rPr>
                <w:b/>
                <w:sz w:val="24"/>
              </w:rPr>
              <w:t>Expected Outcome</w:t>
            </w:r>
          </w:p>
        </w:tc>
      </w:tr>
      <w:tr>
        <w:tc>
          <w:tcPr>
            <w:tcW w:w="3397" w:type="dxa"/>
          </w:tcPr>
          <w:p>
            <w:pPr>
              <w:rPr>
                <w:sz w:val="24"/>
              </w:rPr>
            </w:pPr>
            <w:r>
              <w:rPr>
                <w:color w:val="000000"/>
                <w:sz w:val="24"/>
                <w:szCs w:val="27"/>
              </w:rPr>
              <w:t>Uniform Supplement</w:t>
            </w:r>
          </w:p>
        </w:tc>
        <w:tc>
          <w:tcPr>
            <w:tcW w:w="1418" w:type="dxa"/>
            <w:shd w:val="clear" w:color="auto" w:fill="D9E2F3" w:themeFill="accent5" w:themeFillTint="33"/>
          </w:tcPr>
          <w:p>
            <w:pPr>
              <w:rPr>
                <w:sz w:val="24"/>
              </w:rPr>
            </w:pPr>
            <w:r>
              <w:rPr>
                <w:sz w:val="24"/>
              </w:rPr>
              <w:t>£200</w:t>
            </w:r>
          </w:p>
        </w:tc>
        <w:tc>
          <w:tcPr>
            <w:tcW w:w="4201" w:type="dxa"/>
          </w:tcPr>
          <w:p>
            <w:pPr>
              <w:rPr>
                <w:sz w:val="24"/>
              </w:rPr>
            </w:pPr>
            <w:r>
              <w:rPr>
                <w:color w:val="000000"/>
                <w:sz w:val="24"/>
                <w:szCs w:val="27"/>
              </w:rPr>
              <w:t>Subsidised uniform is available for families in need.</w:t>
            </w:r>
          </w:p>
        </w:tc>
      </w:tr>
      <w:tr>
        <w:tc>
          <w:tcPr>
            <w:tcW w:w="3397" w:type="dxa"/>
          </w:tcPr>
          <w:p>
            <w:pPr>
              <w:pStyle w:val="NormalWeb"/>
              <w:rPr>
                <w:rFonts w:asciiTheme="minorHAnsi" w:hAnsiTheme="minorHAnsi" w:cstheme="minorHAnsi"/>
                <w:color w:val="000000"/>
                <w:szCs w:val="27"/>
              </w:rPr>
            </w:pPr>
            <w:r>
              <w:rPr>
                <w:rFonts w:asciiTheme="minorHAnsi" w:hAnsiTheme="minorHAnsi" w:cstheme="minorHAnsi"/>
                <w:color w:val="000000"/>
                <w:szCs w:val="27"/>
              </w:rPr>
              <w:t>Breakfast Club</w:t>
            </w:r>
          </w:p>
          <w:p>
            <w:pPr>
              <w:pStyle w:val="NormalWeb"/>
              <w:rPr>
                <w:rFonts w:asciiTheme="minorHAnsi" w:hAnsiTheme="minorHAnsi" w:cstheme="minorHAnsi"/>
                <w:color w:val="000000"/>
                <w:szCs w:val="27"/>
              </w:rPr>
            </w:pPr>
            <w:r>
              <w:rPr>
                <w:rFonts w:asciiTheme="minorHAnsi" w:hAnsiTheme="minorHAnsi" w:cstheme="minorHAnsi"/>
                <w:color w:val="000000"/>
                <w:szCs w:val="27"/>
              </w:rPr>
              <w:t>Objective: Pupils to have a healthy start to the day</w:t>
            </w:r>
          </w:p>
          <w:p/>
        </w:tc>
        <w:tc>
          <w:tcPr>
            <w:tcW w:w="1418" w:type="dxa"/>
            <w:shd w:val="clear" w:color="auto" w:fill="FFF2CC" w:themeFill="accent4" w:themeFillTint="33"/>
          </w:tcPr>
          <w:p>
            <w:r>
              <w:t>£875</w:t>
            </w:r>
          </w:p>
        </w:tc>
        <w:tc>
          <w:tcPr>
            <w:tcW w:w="4201" w:type="dxa"/>
          </w:tcPr>
          <w:p>
            <w:pPr>
              <w:rPr>
                <w:sz w:val="24"/>
              </w:rPr>
            </w:pPr>
            <w:r>
              <w:rPr>
                <w:color w:val="000000"/>
                <w:sz w:val="24"/>
                <w:szCs w:val="27"/>
              </w:rPr>
              <w:t>100% of PP pupils have access to breakfast club within the Academy, providing a holistic approach to meeting the needs of the young people at the Academy. Pupils attend punctually and access breakfast club daily. Every young person is additionally offered fruit daily after break. Aim: PP attendance is at least in line with non-PP attendance.</w:t>
            </w:r>
          </w:p>
        </w:tc>
      </w:tr>
      <w:tr>
        <w:tc>
          <w:tcPr>
            <w:tcW w:w="3397" w:type="dxa"/>
          </w:tcPr>
          <w:p>
            <w:pPr>
              <w:pStyle w:val="NormalWeb"/>
              <w:rPr>
                <w:rFonts w:asciiTheme="minorHAnsi" w:hAnsiTheme="minorHAnsi" w:cstheme="minorHAnsi"/>
                <w:color w:val="000000"/>
                <w:szCs w:val="27"/>
              </w:rPr>
            </w:pPr>
            <w:r>
              <w:rPr>
                <w:rFonts w:asciiTheme="minorHAnsi" w:hAnsiTheme="minorHAnsi" w:cstheme="minorHAnsi"/>
                <w:color w:val="000000"/>
                <w:szCs w:val="27"/>
              </w:rPr>
              <w:t>Specialist resources and Equipment</w:t>
            </w:r>
          </w:p>
          <w:p>
            <w:pPr>
              <w:pStyle w:val="NormalWeb"/>
              <w:rPr>
                <w:rFonts w:asciiTheme="minorHAnsi" w:hAnsiTheme="minorHAnsi" w:cstheme="minorHAnsi"/>
                <w:color w:val="000000"/>
                <w:szCs w:val="27"/>
              </w:rPr>
            </w:pPr>
            <w:r>
              <w:rPr>
                <w:rFonts w:asciiTheme="minorHAnsi" w:hAnsiTheme="minorHAnsi" w:cstheme="minorHAnsi"/>
                <w:color w:val="000000"/>
                <w:szCs w:val="27"/>
              </w:rPr>
              <w:t>Objective: Classroom equipped to meet needs of individual pupils</w:t>
            </w:r>
          </w:p>
          <w:p>
            <w:pPr>
              <w:rPr>
                <w:rFonts w:cstheme="minorHAnsi"/>
                <w:sz w:val="24"/>
              </w:rPr>
            </w:pPr>
          </w:p>
        </w:tc>
        <w:tc>
          <w:tcPr>
            <w:tcW w:w="1418" w:type="dxa"/>
            <w:shd w:val="clear" w:color="auto" w:fill="C5E0B3" w:themeFill="accent6" w:themeFillTint="66"/>
          </w:tcPr>
          <w:p>
            <w:pPr>
              <w:rPr>
                <w:rFonts w:cstheme="minorHAnsi"/>
                <w:sz w:val="24"/>
              </w:rPr>
            </w:pPr>
            <w:r>
              <w:rPr>
                <w:rFonts w:cstheme="minorHAnsi"/>
                <w:sz w:val="24"/>
              </w:rPr>
              <w:t>£500</w:t>
            </w:r>
          </w:p>
        </w:tc>
        <w:tc>
          <w:tcPr>
            <w:tcW w:w="4201" w:type="dxa"/>
          </w:tcPr>
          <w:p>
            <w:pPr>
              <w:rPr>
                <w:rFonts w:cstheme="minorHAnsi"/>
                <w:sz w:val="24"/>
              </w:rPr>
            </w:pPr>
            <w:r>
              <w:rPr>
                <w:rFonts w:cstheme="minorHAnsi"/>
                <w:color w:val="000000"/>
                <w:sz w:val="24"/>
                <w:szCs w:val="27"/>
              </w:rPr>
              <w:t>Sensory boxes have been introduced to all classes. Ear defenders and other specialist equipment are available for pupils that need them.</w:t>
            </w:r>
          </w:p>
        </w:tc>
      </w:tr>
      <w:tr>
        <w:tc>
          <w:tcPr>
            <w:tcW w:w="3397" w:type="dxa"/>
          </w:tcPr>
          <w:p>
            <w:pPr>
              <w:pStyle w:val="NormalWeb"/>
              <w:rPr>
                <w:rFonts w:asciiTheme="minorHAnsi" w:hAnsiTheme="minorHAnsi" w:cstheme="minorHAnsi"/>
                <w:color w:val="000000"/>
                <w:szCs w:val="27"/>
              </w:rPr>
            </w:pPr>
            <w:r>
              <w:rPr>
                <w:rFonts w:asciiTheme="minorHAnsi" w:hAnsiTheme="minorHAnsi" w:cstheme="minorHAnsi"/>
                <w:color w:val="000000"/>
                <w:szCs w:val="27"/>
              </w:rPr>
              <w:t>Rewards and enrichment</w:t>
            </w:r>
          </w:p>
          <w:p>
            <w:pPr>
              <w:pStyle w:val="NormalWeb"/>
              <w:rPr>
                <w:rFonts w:asciiTheme="minorHAnsi" w:hAnsiTheme="minorHAnsi" w:cstheme="minorHAnsi"/>
                <w:color w:val="000000"/>
                <w:szCs w:val="27"/>
              </w:rPr>
            </w:pPr>
            <w:r>
              <w:rPr>
                <w:rFonts w:asciiTheme="minorHAnsi" w:hAnsiTheme="minorHAnsi" w:cstheme="minorHAnsi"/>
                <w:color w:val="000000"/>
                <w:szCs w:val="27"/>
              </w:rPr>
              <w:t>Objective: Increase motivation and sense of belonging.</w:t>
            </w:r>
          </w:p>
          <w:p>
            <w:pPr>
              <w:rPr>
                <w:rFonts w:cstheme="minorHAnsi"/>
                <w:sz w:val="24"/>
              </w:rPr>
            </w:pPr>
          </w:p>
        </w:tc>
        <w:tc>
          <w:tcPr>
            <w:tcW w:w="1418" w:type="dxa"/>
            <w:shd w:val="clear" w:color="auto" w:fill="D0CECE" w:themeFill="background2" w:themeFillShade="E6"/>
          </w:tcPr>
          <w:p>
            <w:pPr>
              <w:rPr>
                <w:rFonts w:cstheme="minorHAnsi"/>
                <w:sz w:val="24"/>
              </w:rPr>
            </w:pPr>
            <w:r>
              <w:rPr>
                <w:rFonts w:cstheme="minorHAnsi"/>
                <w:sz w:val="24"/>
              </w:rPr>
              <w:t>£3200</w:t>
            </w:r>
          </w:p>
          <w:p>
            <w:pPr>
              <w:rPr>
                <w:rFonts w:cstheme="minorHAnsi"/>
                <w:sz w:val="24"/>
              </w:rPr>
            </w:pPr>
          </w:p>
          <w:p>
            <w:pPr>
              <w:rPr>
                <w:rFonts w:cstheme="minorHAnsi"/>
                <w:sz w:val="24"/>
              </w:rPr>
            </w:pPr>
            <w:r>
              <w:rPr>
                <w:rFonts w:cstheme="minorHAnsi"/>
                <w:sz w:val="24"/>
              </w:rPr>
              <w:t>16 days of Farm enrichment at £200 per day</w:t>
            </w:r>
          </w:p>
        </w:tc>
        <w:tc>
          <w:tcPr>
            <w:tcW w:w="4201" w:type="dxa"/>
          </w:tcPr>
          <w:p>
            <w:pPr>
              <w:rPr>
                <w:rFonts w:cstheme="minorHAnsi"/>
                <w:sz w:val="24"/>
              </w:rPr>
            </w:pPr>
            <w:r>
              <w:rPr>
                <w:rFonts w:cstheme="minorHAnsi"/>
                <w:color w:val="000000"/>
                <w:sz w:val="24"/>
                <w:szCs w:val="27"/>
              </w:rPr>
              <w:t>The progress and positive contributions of all students is recognized and celebrated.</w:t>
            </w:r>
          </w:p>
        </w:tc>
      </w:tr>
      <w:tr>
        <w:tc>
          <w:tcPr>
            <w:tcW w:w="3397" w:type="dxa"/>
          </w:tcPr>
          <w:p>
            <w:pPr>
              <w:pStyle w:val="NormalWeb"/>
              <w:rPr>
                <w:rFonts w:asciiTheme="minorHAnsi" w:hAnsiTheme="minorHAnsi" w:cstheme="minorHAnsi"/>
                <w:color w:val="000000"/>
                <w:szCs w:val="27"/>
              </w:rPr>
            </w:pPr>
            <w:r>
              <w:rPr>
                <w:rFonts w:asciiTheme="minorHAnsi" w:hAnsiTheme="minorHAnsi" w:cstheme="minorHAnsi"/>
                <w:color w:val="000000"/>
                <w:szCs w:val="27"/>
              </w:rPr>
              <w:t>Supported Transition</w:t>
            </w:r>
          </w:p>
          <w:p>
            <w:pPr>
              <w:pStyle w:val="NormalWeb"/>
              <w:rPr>
                <w:rFonts w:asciiTheme="minorHAnsi" w:hAnsiTheme="minorHAnsi" w:cstheme="minorHAnsi"/>
                <w:color w:val="000000"/>
                <w:szCs w:val="27"/>
              </w:rPr>
            </w:pPr>
            <w:r>
              <w:rPr>
                <w:rFonts w:asciiTheme="minorHAnsi" w:hAnsiTheme="minorHAnsi" w:cstheme="minorHAnsi"/>
                <w:color w:val="000000"/>
                <w:szCs w:val="27"/>
              </w:rPr>
              <w:t>Objective: To provide additional support to families to help with transition of pupils back into a School environment</w:t>
            </w:r>
          </w:p>
        </w:tc>
        <w:tc>
          <w:tcPr>
            <w:tcW w:w="1418" w:type="dxa"/>
            <w:shd w:val="clear" w:color="auto" w:fill="C5E0B3" w:themeFill="accent6" w:themeFillTint="66"/>
          </w:tcPr>
          <w:p>
            <w:pPr>
              <w:rPr>
                <w:rFonts w:cstheme="minorHAnsi"/>
                <w:sz w:val="24"/>
              </w:rPr>
            </w:pPr>
            <w:r>
              <w:rPr>
                <w:rFonts w:cstheme="minorHAnsi"/>
                <w:sz w:val="24"/>
              </w:rPr>
              <w:t>£3200</w:t>
            </w:r>
          </w:p>
          <w:p>
            <w:pPr>
              <w:rPr>
                <w:rFonts w:cstheme="minorHAnsi"/>
                <w:sz w:val="24"/>
              </w:rPr>
            </w:pPr>
          </w:p>
          <w:p>
            <w:pPr>
              <w:rPr>
                <w:rFonts w:cstheme="minorHAnsi"/>
                <w:sz w:val="24"/>
              </w:rPr>
            </w:pPr>
            <w:r>
              <w:rPr>
                <w:rFonts w:cstheme="minorHAnsi"/>
                <w:sz w:val="24"/>
              </w:rPr>
              <w:t>20 Days of Learning Mentor at £160 per day</w:t>
            </w:r>
          </w:p>
        </w:tc>
        <w:tc>
          <w:tcPr>
            <w:tcW w:w="4201" w:type="dxa"/>
          </w:tcPr>
          <w:p>
            <w:pPr>
              <w:rPr>
                <w:rFonts w:cstheme="minorHAnsi"/>
                <w:color w:val="000000"/>
                <w:sz w:val="24"/>
                <w:szCs w:val="27"/>
              </w:rPr>
            </w:pPr>
            <w:r>
              <w:rPr>
                <w:rFonts w:cstheme="minorHAnsi"/>
                <w:color w:val="000000"/>
                <w:sz w:val="24"/>
                <w:szCs w:val="27"/>
              </w:rPr>
              <w:t xml:space="preserve">Support pupils to successfully transition into school. </w:t>
            </w:r>
          </w:p>
          <w:p>
            <w:pPr>
              <w:rPr>
                <w:rFonts w:cstheme="minorHAnsi"/>
                <w:color w:val="000000"/>
                <w:sz w:val="24"/>
                <w:szCs w:val="27"/>
              </w:rPr>
            </w:pPr>
            <w:r>
              <w:rPr>
                <w:rFonts w:cstheme="minorHAnsi"/>
                <w:color w:val="000000"/>
                <w:sz w:val="24"/>
                <w:szCs w:val="27"/>
              </w:rPr>
              <w:t xml:space="preserve">Support parents/ carers to help the </w:t>
            </w:r>
            <w:proofErr w:type="gramStart"/>
            <w:r>
              <w:rPr>
                <w:rFonts w:cstheme="minorHAnsi"/>
                <w:color w:val="000000"/>
                <w:sz w:val="24"/>
                <w:szCs w:val="27"/>
              </w:rPr>
              <w:t>pupils</w:t>
            </w:r>
            <w:proofErr w:type="gramEnd"/>
            <w:r>
              <w:rPr>
                <w:rFonts w:cstheme="minorHAnsi"/>
                <w:color w:val="000000"/>
                <w:sz w:val="24"/>
                <w:szCs w:val="27"/>
              </w:rPr>
              <w:t xml:space="preserve"> transition.</w:t>
            </w:r>
          </w:p>
        </w:tc>
      </w:tr>
      <w:tr>
        <w:tc>
          <w:tcPr>
            <w:tcW w:w="3397" w:type="dxa"/>
            <w:shd w:val="clear" w:color="auto" w:fill="auto"/>
          </w:tcPr>
          <w:p>
            <w:pPr>
              <w:pStyle w:val="NormalWeb"/>
              <w:rPr>
                <w:rFonts w:asciiTheme="minorHAnsi" w:hAnsiTheme="minorHAnsi" w:cstheme="minorHAnsi"/>
                <w:color w:val="000000"/>
                <w:szCs w:val="27"/>
              </w:rPr>
            </w:pPr>
          </w:p>
        </w:tc>
        <w:tc>
          <w:tcPr>
            <w:tcW w:w="1418" w:type="dxa"/>
            <w:shd w:val="clear" w:color="auto" w:fill="auto"/>
          </w:tcPr>
          <w:p>
            <w:pPr>
              <w:rPr>
                <w:rFonts w:cstheme="minorHAnsi"/>
                <w:sz w:val="24"/>
              </w:rPr>
            </w:pPr>
            <w:r>
              <w:rPr>
                <w:rFonts w:cstheme="minorHAnsi"/>
                <w:sz w:val="24"/>
              </w:rPr>
              <w:t>Total £7,975</w:t>
            </w:r>
          </w:p>
          <w:p>
            <w:pPr>
              <w:rPr>
                <w:rFonts w:cstheme="minorHAnsi"/>
                <w:sz w:val="24"/>
              </w:rPr>
            </w:pPr>
            <w:r>
              <w:rPr>
                <w:rFonts w:cstheme="minorHAnsi"/>
                <w:sz w:val="24"/>
              </w:rPr>
              <w:t xml:space="preserve">Of </w:t>
            </w:r>
            <w:r>
              <w:rPr>
                <w:sz w:val="24"/>
              </w:rPr>
              <w:t>£8,065</w:t>
            </w:r>
          </w:p>
        </w:tc>
        <w:tc>
          <w:tcPr>
            <w:tcW w:w="4201" w:type="dxa"/>
            <w:shd w:val="clear" w:color="auto" w:fill="auto"/>
          </w:tcPr>
          <w:p>
            <w:pPr>
              <w:rPr>
                <w:rFonts w:cstheme="minorHAnsi"/>
                <w:color w:val="000000"/>
                <w:sz w:val="24"/>
                <w:szCs w:val="27"/>
              </w:rPr>
            </w:pPr>
          </w:p>
        </w:tc>
      </w:tr>
    </w:tbl>
    <w:p/>
    <w:p>
      <w:pPr>
        <w:rPr>
          <w:b/>
        </w:rPr>
      </w:pPr>
      <w:r>
        <w:rPr>
          <w:b/>
        </w:rPr>
        <w:t>Review</w:t>
      </w:r>
    </w:p>
    <w:p>
      <w:pPr>
        <w:rPr>
          <w:rStyle w:val="normaltextrun"/>
          <w:rFonts w:ascii="Arial" w:hAnsi="Arial" w:cs="Arial"/>
          <w:b/>
          <w:bCs/>
          <w:color w:val="7030A0"/>
          <w:sz w:val="32"/>
          <w:szCs w:val="32"/>
        </w:rPr>
      </w:pPr>
      <w:r>
        <w:t>This strategy will be formally reviewed in February and reported to the academy Council</w:t>
      </w:r>
      <w:r>
        <w:rPr>
          <w:rStyle w:val="normaltextrun"/>
          <w:rFonts w:ascii="Arial" w:hAnsi="Arial" w:cs="Arial"/>
          <w:b/>
          <w:bCs/>
          <w:color w:val="7030A0"/>
          <w:sz w:val="32"/>
          <w:szCs w:val="32"/>
        </w:rPr>
        <w:br w:type="page"/>
      </w:r>
    </w:p>
    <w:p>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2"/>
          <w:szCs w:val="32"/>
        </w:rPr>
        <w:lastRenderedPageBreak/>
        <w:t>Soundwell Pupil Premium Catch Up</w:t>
      </w:r>
      <w:r>
        <w:rPr>
          <w:rStyle w:val="eop"/>
          <w:rFonts w:ascii="Arial" w:hAnsi="Arial" w:cs="Arial"/>
          <w:sz w:val="32"/>
          <w:szCs w:val="32"/>
        </w:rPr>
        <w:t> </w:t>
      </w:r>
      <w:r>
        <w:rPr>
          <w:rStyle w:val="eop"/>
          <w:rFonts w:ascii="Arial" w:hAnsi="Arial" w:cs="Arial"/>
          <w:b/>
          <w:sz w:val="32"/>
          <w:szCs w:val="32"/>
        </w:rPr>
        <w:t>Funding</w:t>
      </w:r>
    </w:p>
    <w:p>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2020-21 </w:t>
      </w:r>
      <w:r>
        <w:rPr>
          <w:rStyle w:val="eop"/>
          <w:rFonts w:ascii="Arial" w:hAnsi="Arial" w:cs="Arial"/>
        </w:rPr>
        <w:t> </w:t>
      </w:r>
    </w:p>
    <w:p>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pPr>
        <w:pStyle w:val="NormalWeb"/>
        <w:rPr>
          <w:rFonts w:asciiTheme="minorHAnsi" w:hAnsiTheme="minorHAnsi" w:cstheme="minorHAnsi"/>
          <w:b/>
          <w:color w:val="000000"/>
          <w:szCs w:val="27"/>
        </w:rPr>
      </w:pPr>
      <w:r>
        <w:rPr>
          <w:rFonts w:asciiTheme="minorHAnsi" w:hAnsiTheme="minorHAnsi" w:cstheme="minorHAnsi"/>
          <w:b/>
          <w:color w:val="000000"/>
          <w:szCs w:val="27"/>
        </w:rPr>
        <w:t xml:space="preserve">Pupil Premium Catch Up funding </w:t>
      </w:r>
    </w:p>
    <w:p>
      <w:pPr>
        <w:shd w:val="clear" w:color="auto" w:fill="FFFFFF"/>
        <w:spacing w:after="300" w:line="240" w:lineRule="auto"/>
        <w:rPr>
          <w:rFonts w:eastAsia="Times New Roman" w:cs="Arial"/>
          <w:color w:val="0B0C0C"/>
          <w:sz w:val="24"/>
          <w:szCs w:val="29"/>
          <w:lang w:eastAsia="en-GB"/>
        </w:rPr>
      </w:pPr>
      <w:r>
        <w:rPr>
          <w:rFonts w:eastAsia="Times New Roman" w:cs="Arial"/>
          <w:color w:val="0B0C0C"/>
          <w:sz w:val="24"/>
          <w:szCs w:val="29"/>
          <w:lang w:eastAsia="en-GB"/>
        </w:rPr>
        <w:t xml:space="preserve">Children and young people across the country have experienced unprecedented disruption to their education as a result of coronavirus (COVID-19). Those from the most vulnerable and disadvantaged backgrounds will be among </w:t>
      </w:r>
      <w:proofErr w:type="gramStart"/>
      <w:r>
        <w:rPr>
          <w:rFonts w:eastAsia="Times New Roman" w:cs="Arial"/>
          <w:color w:val="0B0C0C"/>
          <w:sz w:val="24"/>
          <w:szCs w:val="29"/>
          <w:lang w:eastAsia="en-GB"/>
        </w:rPr>
        <w:t>those hardest hit</w:t>
      </w:r>
      <w:proofErr w:type="gramEnd"/>
      <w:r>
        <w:rPr>
          <w:rFonts w:eastAsia="Times New Roman" w:cs="Arial"/>
          <w:color w:val="0B0C0C"/>
          <w:sz w:val="24"/>
          <w:szCs w:val="29"/>
          <w:lang w:eastAsia="en-GB"/>
        </w:rPr>
        <w:t>. The aggregate impact of lost time in education will be substantial, and the scale of our response must match the scale of the challenge.</w:t>
      </w:r>
    </w:p>
    <w:p>
      <w:pPr>
        <w:shd w:val="clear" w:color="auto" w:fill="FFFFFF"/>
        <w:spacing w:before="300" w:after="300" w:line="240" w:lineRule="auto"/>
        <w:rPr>
          <w:rFonts w:eastAsia="Times New Roman" w:cs="Arial"/>
          <w:color w:val="0B0C0C"/>
          <w:sz w:val="24"/>
          <w:szCs w:val="29"/>
          <w:lang w:eastAsia="en-GB"/>
        </w:rPr>
      </w:pPr>
      <w:r>
        <w:rPr>
          <w:rFonts w:eastAsia="Times New Roman" w:cs="Arial"/>
          <w:color w:val="0B0C0C"/>
          <w:sz w:val="24"/>
          <w:szCs w:val="29"/>
          <w:lang w:eastAsia="en-GB"/>
        </w:rPr>
        <w:t>We know that we have the professional knowledge and expertise in the education system to ensure that children and young people recover and get back on track. Returning to normal educational routines as quickly as possible will be critical to our national recovery, and the government intends for schools and colleges to fully open in September.</w:t>
      </w:r>
    </w:p>
    <w:p>
      <w:pPr>
        <w:shd w:val="clear" w:color="auto" w:fill="FFFFFF"/>
        <w:spacing w:before="300" w:after="300" w:line="240" w:lineRule="auto"/>
        <w:rPr>
          <w:rFonts w:eastAsia="Times New Roman" w:cs="Arial"/>
          <w:color w:val="0B0C0C"/>
          <w:sz w:val="24"/>
          <w:szCs w:val="29"/>
          <w:lang w:eastAsia="en-GB"/>
        </w:rPr>
      </w:pPr>
      <w:r>
        <w:rPr>
          <w:rFonts w:eastAsia="Times New Roman" w:cs="Arial"/>
          <w:color w:val="0B0C0C"/>
          <w:sz w:val="24"/>
          <w:szCs w:val="29"/>
          <w:lang w:eastAsia="en-GB"/>
        </w:rPr>
        <w:t>The government has announced £1 billion of funding to support children and young people to catch up. This includes a one-off universal £650 million catch-up premium for the 2020 to 2021 academic year to ensure that schools have the support they need to help all pupils make up for lost teaching time.</w:t>
      </w:r>
    </w:p>
    <w:p>
      <w:pPr>
        <w:shd w:val="clear" w:color="auto" w:fill="FFFFFF"/>
        <w:spacing w:before="300" w:after="300" w:line="240" w:lineRule="auto"/>
        <w:rPr>
          <w:rFonts w:eastAsia="Times New Roman" w:cs="Arial"/>
          <w:color w:val="0B0C0C"/>
          <w:sz w:val="24"/>
          <w:szCs w:val="29"/>
          <w:lang w:eastAsia="en-GB"/>
        </w:rPr>
      </w:pPr>
      <w:r>
        <w:rPr>
          <w:rFonts w:eastAsia="Times New Roman" w:cs="Arial"/>
          <w:color w:val="0B0C0C"/>
          <w:sz w:val="24"/>
          <w:szCs w:val="29"/>
          <w:lang w:eastAsia="en-GB"/>
        </w:rPr>
        <w:t>Although all children have had their education disrupted by the coronavirus (COVID-19) outbreak, it is likely that disadvantaged and vulnerable groups will have been hardest hit. That is why, alongside the universal catch-up premium, we are launching a £350 million National Tutoring Programme to provide additional, targeted support for those children and young people who need the most help.</w:t>
      </w:r>
    </w:p>
    <w:p>
      <w:pPr>
        <w:pStyle w:val="NormalWeb"/>
        <w:rPr>
          <w:rFonts w:asciiTheme="minorHAnsi" w:hAnsiTheme="minorHAnsi" w:cstheme="minorHAnsi"/>
          <w:color w:val="0B0C0C"/>
          <w:szCs w:val="20"/>
          <w:shd w:val="clear" w:color="auto" w:fill="FFFFFF"/>
        </w:rPr>
      </w:pPr>
      <w:r>
        <w:rPr>
          <w:rFonts w:asciiTheme="minorHAnsi" w:hAnsiTheme="minorHAnsi" w:cstheme="minorHAnsi"/>
          <w:color w:val="0B0C0C"/>
          <w:szCs w:val="20"/>
          <w:shd w:val="clear" w:color="auto" w:fill="FFFFFF"/>
        </w:rPr>
        <w:t>Special, </w:t>
      </w:r>
      <w:r>
        <w:rPr>
          <w:rFonts w:asciiTheme="minorHAnsi" w:hAnsiTheme="minorHAnsi" w:cstheme="minorHAnsi"/>
          <w:szCs w:val="20"/>
        </w:rPr>
        <w:t>AP</w:t>
      </w:r>
      <w:r>
        <w:rPr>
          <w:rFonts w:asciiTheme="minorHAnsi" w:hAnsiTheme="minorHAnsi" w:cstheme="minorHAnsi"/>
          <w:color w:val="0B0C0C"/>
          <w:szCs w:val="20"/>
          <w:shd w:val="clear" w:color="auto" w:fill="FFFFFF"/>
        </w:rPr>
        <w:t> and hospital schools will be provided with £240 for each place for the 2020 to 2021 academic year.</w:t>
      </w:r>
    </w:p>
    <w:p>
      <w:pPr>
        <w:pStyle w:val="NormalWeb"/>
        <w:rPr>
          <w:rFonts w:asciiTheme="minorHAnsi" w:hAnsiTheme="minorHAnsi" w:cstheme="minorHAnsi"/>
          <w:color w:val="000000"/>
          <w:szCs w:val="20"/>
        </w:rPr>
      </w:pPr>
      <w:r>
        <w:rPr>
          <w:rFonts w:asciiTheme="minorHAnsi" w:hAnsiTheme="minorHAnsi" w:cstheme="minorHAnsi"/>
          <w:color w:val="000000"/>
          <w:szCs w:val="20"/>
        </w:rPr>
        <w:t xml:space="preserve">This works out to £6,720 for the academic year. </w:t>
      </w:r>
    </w:p>
    <w:p>
      <w:pPr>
        <w:pStyle w:val="NormalWeb"/>
        <w:rPr>
          <w:rFonts w:asciiTheme="minorHAnsi" w:hAnsiTheme="minorHAnsi" w:cstheme="minorHAnsi"/>
          <w:b/>
          <w:color w:val="000000"/>
          <w:szCs w:val="27"/>
        </w:rPr>
      </w:pPr>
      <w:r>
        <w:rPr>
          <w:rFonts w:asciiTheme="minorHAnsi" w:hAnsiTheme="minorHAnsi" w:cstheme="minorHAnsi"/>
          <w:b/>
          <w:color w:val="000000"/>
          <w:szCs w:val="27"/>
        </w:rPr>
        <w:t>Context of the Academy</w:t>
      </w:r>
    </w:p>
    <w:p>
      <w:pPr>
        <w:pStyle w:val="NormalWeb"/>
        <w:rPr>
          <w:rFonts w:asciiTheme="minorHAnsi" w:hAnsiTheme="minorHAnsi" w:cstheme="minorHAnsi"/>
          <w:color w:val="000000"/>
          <w:szCs w:val="27"/>
        </w:rPr>
      </w:pPr>
      <w:r>
        <w:rPr>
          <w:rFonts w:asciiTheme="minorHAnsi" w:hAnsiTheme="minorHAnsi" w:cstheme="minorHAnsi"/>
          <w:color w:val="000000"/>
          <w:szCs w:val="27"/>
        </w:rPr>
        <w:t>· Our current planned place number is 28. The Academy has been designed to educate young people from KS1 to KS3 with SEMH, SLCN and ASC needs.</w:t>
      </w:r>
    </w:p>
    <w:p>
      <w:pPr>
        <w:pStyle w:val="NormalWeb"/>
        <w:rPr>
          <w:rFonts w:asciiTheme="minorHAnsi" w:hAnsiTheme="minorHAnsi" w:cstheme="minorHAnsi"/>
          <w:color w:val="000000"/>
          <w:szCs w:val="27"/>
        </w:rPr>
      </w:pPr>
      <w:r>
        <w:rPr>
          <w:rFonts w:asciiTheme="minorHAnsi" w:hAnsiTheme="minorHAnsi" w:cstheme="minorHAnsi"/>
          <w:color w:val="000000"/>
          <w:szCs w:val="27"/>
        </w:rPr>
        <w:t xml:space="preserve">· Soundwell is a new Academy and part of Learn@ Mat. Starting with 28 pupils in a temporary build and expanding to 136 pupils in a permanent build. </w:t>
      </w:r>
    </w:p>
    <w:p>
      <w:pPr>
        <w:pStyle w:val="NormalWeb"/>
        <w:rPr>
          <w:rFonts w:asciiTheme="minorHAnsi" w:hAnsiTheme="minorHAnsi" w:cstheme="minorHAnsi"/>
          <w:b/>
          <w:color w:val="000000"/>
          <w:szCs w:val="27"/>
        </w:rPr>
      </w:pPr>
      <w:r>
        <w:rPr>
          <w:rFonts w:asciiTheme="minorHAnsi" w:hAnsiTheme="minorHAnsi" w:cstheme="minorHAnsi"/>
          <w:b/>
          <w:color w:val="000000"/>
          <w:szCs w:val="27"/>
        </w:rPr>
        <w:t>Objectives of Pupil Premium spending</w:t>
      </w:r>
    </w:p>
    <w:p>
      <w:pPr>
        <w:pStyle w:val="NormalWeb"/>
        <w:rPr>
          <w:rFonts w:asciiTheme="minorHAnsi" w:hAnsiTheme="minorHAnsi" w:cstheme="minorHAnsi"/>
          <w:color w:val="000000"/>
          <w:szCs w:val="27"/>
        </w:rPr>
      </w:pPr>
      <w:r>
        <w:rPr>
          <w:rFonts w:asciiTheme="minorHAnsi" w:hAnsiTheme="minorHAnsi" w:cstheme="minorHAnsi"/>
          <w:color w:val="000000"/>
          <w:szCs w:val="27"/>
        </w:rPr>
        <w:t xml:space="preserve">At Soundwell, we support all our pupils. We do this by providing high quality teaching supplemented by interventions to support vulnerable learners as and when required. The </w:t>
      </w:r>
      <w:r>
        <w:rPr>
          <w:rFonts w:asciiTheme="minorHAnsi" w:hAnsiTheme="minorHAnsi" w:cstheme="minorHAnsi"/>
          <w:color w:val="000000"/>
          <w:szCs w:val="27"/>
        </w:rPr>
        <w:lastRenderedPageBreak/>
        <w:t>Strategic Leadership Team and Academy Council monitor the impact of all spending and interventions, including the Pupil Premium.</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shd w:val="clear" w:color="auto" w:fill="D0CECE" w:themeFill="background2" w:themeFillShade="E6"/>
          </w:tcPr>
          <w:p>
            <w:r>
              <w:t>Academic Achievement</w:t>
            </w:r>
          </w:p>
        </w:tc>
        <w:tc>
          <w:tcPr>
            <w:tcW w:w="1803" w:type="dxa"/>
            <w:shd w:val="clear" w:color="auto" w:fill="FBE4D5" w:themeFill="accent2" w:themeFillTint="33"/>
          </w:tcPr>
          <w:p>
            <w:r>
              <w:t>Focusing on Social, Emotional and Mental Health support</w:t>
            </w:r>
          </w:p>
        </w:tc>
        <w:tc>
          <w:tcPr>
            <w:tcW w:w="1803" w:type="dxa"/>
            <w:shd w:val="clear" w:color="auto" w:fill="FFF2CC" w:themeFill="accent4" w:themeFillTint="33"/>
          </w:tcPr>
          <w:p>
            <w:r>
              <w:t>Focus on enrichment outside of the curriculum</w:t>
            </w:r>
          </w:p>
        </w:tc>
        <w:tc>
          <w:tcPr>
            <w:tcW w:w="1803" w:type="dxa"/>
            <w:shd w:val="clear" w:color="auto" w:fill="D9E2F3" w:themeFill="accent5" w:themeFillTint="33"/>
          </w:tcPr>
          <w:p>
            <w:r>
              <w:t>Family Support</w:t>
            </w:r>
          </w:p>
        </w:tc>
        <w:tc>
          <w:tcPr>
            <w:tcW w:w="1804" w:type="dxa"/>
            <w:shd w:val="clear" w:color="auto" w:fill="C5E0B3" w:themeFill="accent6" w:themeFillTint="66"/>
          </w:tcPr>
          <w:p>
            <w:r>
              <w:t>School Readiness</w:t>
            </w:r>
          </w:p>
        </w:tc>
      </w:tr>
    </w:tbl>
    <w:p/>
    <w:p/>
    <w:p>
      <w:pPr>
        <w:rPr>
          <w:b/>
        </w:rPr>
      </w:pPr>
      <w:r>
        <w:rPr>
          <w:b/>
        </w:rPr>
        <w:t>Pupil Premium Catch Up Funding 20/21</w:t>
      </w:r>
    </w:p>
    <w:tbl>
      <w:tblPr>
        <w:tblStyle w:val="TableGrid"/>
        <w:tblW w:w="0" w:type="auto"/>
        <w:tblLook w:val="04A0" w:firstRow="1" w:lastRow="0" w:firstColumn="1" w:lastColumn="0" w:noHBand="0" w:noVBand="1"/>
      </w:tblPr>
      <w:tblGrid>
        <w:gridCol w:w="3397"/>
        <w:gridCol w:w="1418"/>
        <w:gridCol w:w="4201"/>
      </w:tblGrid>
      <w:tr>
        <w:tc>
          <w:tcPr>
            <w:tcW w:w="3397" w:type="dxa"/>
          </w:tcPr>
          <w:p>
            <w:pPr>
              <w:rPr>
                <w:b/>
                <w:sz w:val="24"/>
              </w:rPr>
            </w:pPr>
            <w:r>
              <w:rPr>
                <w:b/>
                <w:sz w:val="24"/>
              </w:rPr>
              <w:t>Area</w:t>
            </w:r>
          </w:p>
        </w:tc>
        <w:tc>
          <w:tcPr>
            <w:tcW w:w="1418" w:type="dxa"/>
          </w:tcPr>
          <w:p>
            <w:pPr>
              <w:rPr>
                <w:b/>
                <w:sz w:val="24"/>
              </w:rPr>
            </w:pPr>
            <w:r>
              <w:rPr>
                <w:b/>
                <w:sz w:val="24"/>
              </w:rPr>
              <w:t>Cost</w:t>
            </w:r>
          </w:p>
        </w:tc>
        <w:tc>
          <w:tcPr>
            <w:tcW w:w="4201" w:type="dxa"/>
          </w:tcPr>
          <w:p>
            <w:pPr>
              <w:rPr>
                <w:b/>
                <w:sz w:val="24"/>
              </w:rPr>
            </w:pPr>
            <w:r>
              <w:rPr>
                <w:b/>
                <w:sz w:val="24"/>
              </w:rPr>
              <w:t>Expected Outcome</w:t>
            </w:r>
          </w:p>
        </w:tc>
      </w:tr>
      <w:tr>
        <w:tc>
          <w:tcPr>
            <w:tcW w:w="3397" w:type="dxa"/>
          </w:tcPr>
          <w:p>
            <w:pPr>
              <w:rPr>
                <w:sz w:val="24"/>
              </w:rPr>
            </w:pPr>
            <w:r>
              <w:rPr>
                <w:sz w:val="24"/>
              </w:rPr>
              <w:t>12 days mentoring</w:t>
            </w:r>
          </w:p>
        </w:tc>
        <w:tc>
          <w:tcPr>
            <w:tcW w:w="1418" w:type="dxa"/>
            <w:shd w:val="clear" w:color="auto" w:fill="D9E2F3" w:themeFill="accent5" w:themeFillTint="33"/>
          </w:tcPr>
          <w:p>
            <w:pPr>
              <w:rPr>
                <w:sz w:val="24"/>
              </w:rPr>
            </w:pPr>
            <w:r>
              <w:rPr>
                <w:sz w:val="24"/>
              </w:rPr>
              <w:t>£160 per day</w:t>
            </w:r>
          </w:p>
          <w:p>
            <w:pPr>
              <w:rPr>
                <w:sz w:val="24"/>
              </w:rPr>
            </w:pPr>
            <w:r>
              <w:rPr>
                <w:sz w:val="24"/>
              </w:rPr>
              <w:t>£1920</w:t>
            </w:r>
          </w:p>
        </w:tc>
        <w:tc>
          <w:tcPr>
            <w:tcW w:w="4201" w:type="dxa"/>
          </w:tcPr>
          <w:p>
            <w:pPr>
              <w:rPr>
                <w:sz w:val="24"/>
              </w:rPr>
            </w:pPr>
            <w:r>
              <w:rPr>
                <w:sz w:val="24"/>
              </w:rPr>
              <w:t xml:space="preserve">Pupils to receive individual support to help transition back to full time schooling. </w:t>
            </w:r>
          </w:p>
        </w:tc>
      </w:tr>
      <w:tr>
        <w:tc>
          <w:tcPr>
            <w:tcW w:w="3397" w:type="dxa"/>
          </w:tcPr>
          <w:p>
            <w:r>
              <w:t xml:space="preserve">Talk Boost interventions for all pupils. </w:t>
            </w:r>
          </w:p>
          <w:p>
            <w:r>
              <w:t>All Pupils to be baselined.</w:t>
            </w:r>
          </w:p>
          <w:p>
            <w:r>
              <w:t>All pupils to have access to talk boost sessions</w:t>
            </w:r>
          </w:p>
        </w:tc>
        <w:tc>
          <w:tcPr>
            <w:tcW w:w="1418" w:type="dxa"/>
            <w:shd w:val="clear" w:color="auto" w:fill="D0CECE" w:themeFill="background2" w:themeFillShade="E6"/>
          </w:tcPr>
          <w:p>
            <w:r>
              <w:t xml:space="preserve">£1030 Resources </w:t>
            </w:r>
          </w:p>
          <w:p>
            <w:r>
              <w:t>5 hours HLTA time per week for 5 weeks</w:t>
            </w:r>
          </w:p>
          <w:p>
            <w:r>
              <w:t>£625</w:t>
            </w:r>
          </w:p>
          <w:p>
            <w:r>
              <w:t>£1655</w:t>
            </w:r>
          </w:p>
        </w:tc>
        <w:tc>
          <w:tcPr>
            <w:tcW w:w="4201" w:type="dxa"/>
          </w:tcPr>
          <w:p>
            <w:pPr>
              <w:rPr>
                <w:sz w:val="24"/>
              </w:rPr>
            </w:pPr>
            <w:r>
              <w:rPr>
                <w:sz w:val="24"/>
              </w:rPr>
              <w:t xml:space="preserve">All pupils to be baselined on the Talk boost Speech and Language tool. Pupils to have HLTA directed Speech and Language sessions. Either in groups or individually. </w:t>
            </w:r>
          </w:p>
        </w:tc>
      </w:tr>
      <w:tr>
        <w:tc>
          <w:tcPr>
            <w:tcW w:w="3397" w:type="dxa"/>
          </w:tcPr>
          <w:p>
            <w:pPr>
              <w:rPr>
                <w:rFonts w:cstheme="minorHAnsi"/>
                <w:sz w:val="24"/>
              </w:rPr>
            </w:pPr>
            <w:r>
              <w:rPr>
                <w:rFonts w:cstheme="minorHAnsi"/>
                <w:sz w:val="24"/>
              </w:rPr>
              <w:t>Phonics interventions over the Summer holidays</w:t>
            </w:r>
          </w:p>
        </w:tc>
        <w:tc>
          <w:tcPr>
            <w:tcW w:w="1418" w:type="dxa"/>
            <w:shd w:val="clear" w:color="auto" w:fill="C5E0B3" w:themeFill="accent6" w:themeFillTint="66"/>
          </w:tcPr>
          <w:p>
            <w:pPr>
              <w:rPr>
                <w:rFonts w:cstheme="minorHAnsi"/>
                <w:sz w:val="24"/>
              </w:rPr>
            </w:pPr>
            <w:r>
              <w:rPr>
                <w:rFonts w:cstheme="minorHAnsi"/>
                <w:sz w:val="24"/>
              </w:rPr>
              <w:t>£3000</w:t>
            </w:r>
          </w:p>
        </w:tc>
        <w:tc>
          <w:tcPr>
            <w:tcW w:w="4201" w:type="dxa"/>
          </w:tcPr>
          <w:p>
            <w:pPr>
              <w:rPr>
                <w:rFonts w:cstheme="minorHAnsi"/>
                <w:sz w:val="24"/>
              </w:rPr>
            </w:pPr>
            <w:r>
              <w:rPr>
                <w:rFonts w:cstheme="minorHAnsi"/>
                <w:sz w:val="24"/>
              </w:rPr>
              <w:t>Pupils to continue to have regular access to phonics sessions during the summer holidays to catch up.</w:t>
            </w:r>
          </w:p>
        </w:tc>
      </w:tr>
      <w:tr>
        <w:tc>
          <w:tcPr>
            <w:tcW w:w="3397" w:type="dxa"/>
          </w:tcPr>
          <w:p>
            <w:pPr>
              <w:pStyle w:val="NormalWeb"/>
              <w:rPr>
                <w:rFonts w:asciiTheme="minorHAnsi" w:hAnsiTheme="minorHAnsi" w:cstheme="minorHAnsi"/>
                <w:color w:val="000000"/>
                <w:szCs w:val="27"/>
              </w:rPr>
            </w:pPr>
            <w:r>
              <w:rPr>
                <w:rFonts w:asciiTheme="minorHAnsi" w:hAnsiTheme="minorHAnsi" w:cstheme="minorHAnsi"/>
                <w:color w:val="000000"/>
                <w:szCs w:val="27"/>
              </w:rPr>
              <w:t>Total</w:t>
            </w:r>
          </w:p>
        </w:tc>
        <w:tc>
          <w:tcPr>
            <w:tcW w:w="1418" w:type="dxa"/>
            <w:shd w:val="clear" w:color="auto" w:fill="auto"/>
          </w:tcPr>
          <w:p>
            <w:pPr>
              <w:rPr>
                <w:rFonts w:cstheme="minorHAnsi"/>
                <w:sz w:val="24"/>
              </w:rPr>
            </w:pPr>
            <w:r>
              <w:rPr>
                <w:rFonts w:cstheme="minorHAnsi"/>
                <w:sz w:val="24"/>
              </w:rPr>
              <w:t>£6,575 of £6,720</w:t>
            </w:r>
          </w:p>
        </w:tc>
        <w:tc>
          <w:tcPr>
            <w:tcW w:w="4201" w:type="dxa"/>
          </w:tcPr>
          <w:p>
            <w:pPr>
              <w:rPr>
                <w:rFonts w:cstheme="minorHAnsi"/>
                <w:color w:val="000000"/>
                <w:sz w:val="24"/>
                <w:szCs w:val="27"/>
              </w:rPr>
            </w:pPr>
          </w:p>
        </w:tc>
      </w:tr>
    </w:tbl>
    <w:p>
      <w:pPr>
        <w:rPr>
          <w:b/>
        </w:rPr>
      </w:pPr>
    </w:p>
    <w:p>
      <w:pPr>
        <w:rPr>
          <w:b/>
        </w:rPr>
      </w:pPr>
    </w:p>
    <w:p>
      <w:pPr>
        <w:rPr>
          <w:b/>
        </w:rPr>
      </w:pPr>
      <w:r>
        <w:rPr>
          <w:b/>
        </w:rPr>
        <w:t>Review</w:t>
      </w:r>
    </w:p>
    <w:p>
      <w:r>
        <w:t xml:space="preserve">This strategy will be formally reviewed in February and reported to the academy Council. </w:t>
      </w:r>
    </w:p>
    <w:p/>
    <w:p>
      <w:pPr>
        <w:pStyle w:val="paragraph"/>
        <w:spacing w:before="0" w:beforeAutospacing="0" w:after="0" w:afterAutospacing="0"/>
        <w:jc w:val="center"/>
        <w:textAlignment w:val="baseline"/>
        <w:rPr>
          <w:rStyle w:val="normaltextrun"/>
          <w:rFonts w:ascii="Arial" w:hAnsi="Arial" w:cs="Arial"/>
          <w:b/>
          <w:bCs/>
          <w:sz w:val="32"/>
          <w:szCs w:val="32"/>
        </w:rPr>
      </w:pPr>
    </w:p>
    <w:p>
      <w:pPr>
        <w:pStyle w:val="paragraph"/>
        <w:spacing w:before="0" w:beforeAutospacing="0" w:after="0" w:afterAutospacing="0"/>
        <w:jc w:val="center"/>
        <w:textAlignment w:val="baseline"/>
        <w:rPr>
          <w:rStyle w:val="normaltextrun"/>
          <w:rFonts w:ascii="Arial" w:hAnsi="Arial" w:cs="Arial"/>
          <w:b/>
          <w:bCs/>
          <w:sz w:val="32"/>
          <w:szCs w:val="32"/>
        </w:rPr>
      </w:pPr>
    </w:p>
    <w:p>
      <w:pPr>
        <w:pStyle w:val="paragraph"/>
        <w:spacing w:before="0" w:beforeAutospacing="0" w:after="0" w:afterAutospacing="0"/>
        <w:jc w:val="center"/>
        <w:textAlignment w:val="baseline"/>
        <w:rPr>
          <w:rStyle w:val="normaltextrun"/>
          <w:rFonts w:ascii="Arial" w:hAnsi="Arial" w:cs="Arial"/>
          <w:b/>
          <w:bCs/>
          <w:sz w:val="32"/>
          <w:szCs w:val="32"/>
        </w:rPr>
      </w:pPr>
    </w:p>
    <w:p>
      <w:pPr>
        <w:pStyle w:val="paragraph"/>
        <w:spacing w:before="0" w:beforeAutospacing="0" w:after="0" w:afterAutospacing="0"/>
        <w:jc w:val="center"/>
        <w:textAlignment w:val="baseline"/>
        <w:rPr>
          <w:rStyle w:val="normaltextrun"/>
          <w:rFonts w:ascii="Arial" w:hAnsi="Arial" w:cs="Arial"/>
          <w:b/>
          <w:bCs/>
          <w:sz w:val="32"/>
          <w:szCs w:val="32"/>
        </w:rPr>
      </w:pPr>
    </w:p>
    <w:p>
      <w:pPr>
        <w:pStyle w:val="paragraph"/>
        <w:spacing w:before="0" w:beforeAutospacing="0" w:after="0" w:afterAutospacing="0"/>
        <w:jc w:val="center"/>
        <w:textAlignment w:val="baseline"/>
        <w:rPr>
          <w:rStyle w:val="normaltextrun"/>
          <w:rFonts w:ascii="Arial" w:hAnsi="Arial" w:cs="Arial"/>
          <w:b/>
          <w:bCs/>
          <w:sz w:val="32"/>
          <w:szCs w:val="32"/>
        </w:rPr>
      </w:pPr>
    </w:p>
    <w:p>
      <w:pPr>
        <w:pStyle w:val="paragraph"/>
        <w:spacing w:before="0" w:beforeAutospacing="0" w:after="0" w:afterAutospacing="0"/>
        <w:jc w:val="center"/>
        <w:textAlignment w:val="baseline"/>
        <w:rPr>
          <w:rStyle w:val="normaltextrun"/>
          <w:rFonts w:ascii="Arial" w:hAnsi="Arial" w:cs="Arial"/>
          <w:b/>
          <w:bCs/>
          <w:sz w:val="32"/>
          <w:szCs w:val="32"/>
        </w:rPr>
      </w:pPr>
    </w:p>
    <w:p>
      <w:pPr>
        <w:pStyle w:val="paragraph"/>
        <w:spacing w:before="0" w:beforeAutospacing="0" w:after="0" w:afterAutospacing="0"/>
        <w:jc w:val="center"/>
        <w:textAlignment w:val="baseline"/>
        <w:rPr>
          <w:rStyle w:val="normaltextrun"/>
          <w:rFonts w:ascii="Arial" w:hAnsi="Arial" w:cs="Arial"/>
          <w:b/>
          <w:bCs/>
          <w:sz w:val="32"/>
          <w:szCs w:val="32"/>
        </w:rPr>
      </w:pPr>
    </w:p>
    <w:p>
      <w:pPr>
        <w:pStyle w:val="paragraph"/>
        <w:spacing w:before="0" w:beforeAutospacing="0" w:after="0" w:afterAutospacing="0"/>
        <w:jc w:val="center"/>
        <w:textAlignment w:val="baseline"/>
        <w:rPr>
          <w:rStyle w:val="normaltextrun"/>
          <w:rFonts w:ascii="Arial" w:hAnsi="Arial" w:cs="Arial"/>
          <w:b/>
          <w:bCs/>
          <w:sz w:val="32"/>
          <w:szCs w:val="32"/>
        </w:rPr>
      </w:pPr>
    </w:p>
    <w:p>
      <w:pPr>
        <w:pStyle w:val="paragraph"/>
        <w:spacing w:before="0" w:beforeAutospacing="0" w:after="0" w:afterAutospacing="0"/>
        <w:jc w:val="center"/>
        <w:textAlignment w:val="baseline"/>
        <w:rPr>
          <w:rStyle w:val="normaltextrun"/>
          <w:rFonts w:ascii="Arial" w:hAnsi="Arial" w:cs="Arial"/>
          <w:b/>
          <w:bCs/>
          <w:sz w:val="32"/>
          <w:szCs w:val="32"/>
        </w:rPr>
      </w:pPr>
    </w:p>
    <w:p>
      <w:pPr>
        <w:pStyle w:val="paragraph"/>
        <w:spacing w:before="0" w:beforeAutospacing="0" w:after="0" w:afterAutospacing="0"/>
        <w:jc w:val="center"/>
        <w:textAlignment w:val="baseline"/>
        <w:rPr>
          <w:rStyle w:val="normaltextrun"/>
          <w:rFonts w:ascii="Arial" w:hAnsi="Arial" w:cs="Arial"/>
          <w:b/>
          <w:bCs/>
          <w:sz w:val="32"/>
          <w:szCs w:val="32"/>
        </w:rPr>
      </w:pPr>
    </w:p>
    <w:p>
      <w:pPr>
        <w:pStyle w:val="paragraph"/>
        <w:spacing w:before="0" w:beforeAutospacing="0" w:after="0" w:afterAutospacing="0"/>
        <w:jc w:val="center"/>
        <w:textAlignment w:val="baseline"/>
        <w:rPr>
          <w:rStyle w:val="normaltextrun"/>
          <w:rFonts w:ascii="Arial" w:hAnsi="Arial" w:cs="Arial"/>
          <w:b/>
          <w:bCs/>
          <w:sz w:val="32"/>
          <w:szCs w:val="32"/>
        </w:rPr>
      </w:pPr>
    </w:p>
    <w:p>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2"/>
          <w:szCs w:val="32"/>
        </w:rPr>
        <w:t>Soundwell Primary Sports Funding </w:t>
      </w:r>
      <w:r>
        <w:rPr>
          <w:rStyle w:val="eop"/>
          <w:rFonts w:ascii="Arial" w:hAnsi="Arial" w:cs="Arial"/>
          <w:sz w:val="32"/>
          <w:szCs w:val="32"/>
        </w:rPr>
        <w:t> </w:t>
      </w:r>
    </w:p>
    <w:p>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2020-21 </w:t>
      </w:r>
      <w:r>
        <w:rPr>
          <w:rStyle w:val="eop"/>
          <w:rFonts w:ascii="Arial" w:hAnsi="Arial" w:cs="Arial"/>
        </w:rPr>
        <w:t> </w:t>
      </w:r>
    </w:p>
    <w:p>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pPr>
        <w:pStyle w:val="paragraph"/>
        <w:shd w:val="clear" w:color="auto" w:fill="FFFFFF"/>
        <w:spacing w:before="0" w:beforeAutospacing="0" w:after="0" w:afterAutospacing="0"/>
        <w:textAlignment w:val="baseline"/>
        <w:rPr>
          <w:rStyle w:val="normaltextrun"/>
          <w:rFonts w:ascii="Arial" w:hAnsi="Arial" w:cs="Arial"/>
          <w:b/>
          <w:bCs/>
          <w:color w:val="000000"/>
          <w:lang w:val="en"/>
        </w:rPr>
      </w:pPr>
      <w:r>
        <w:rPr>
          <w:rStyle w:val="normaltextrun"/>
          <w:rFonts w:ascii="Arial" w:hAnsi="Arial" w:cs="Arial"/>
          <w:b/>
          <w:bCs/>
          <w:color w:val="000000"/>
          <w:lang w:val="en"/>
        </w:rPr>
        <w:t>Primary Sports Funding</w:t>
      </w:r>
    </w:p>
    <w:p>
      <w:pPr>
        <w:pStyle w:val="paragraph"/>
        <w:shd w:val="clear" w:color="auto" w:fill="FFFFFF"/>
        <w:spacing w:before="0" w:beforeAutospacing="0" w:after="0" w:afterAutospacing="0"/>
        <w:textAlignment w:val="baseline"/>
        <w:rPr>
          <w:rStyle w:val="normaltextrun"/>
          <w:rFonts w:ascii="Arial" w:hAnsi="Arial" w:cs="Arial"/>
          <w:b/>
          <w:bCs/>
          <w:color w:val="000000"/>
          <w:lang w:val="en"/>
        </w:rPr>
      </w:pPr>
    </w:p>
    <w:p>
      <w:pPr>
        <w:pStyle w:val="NormalWeb"/>
        <w:shd w:val="clear" w:color="auto" w:fill="FFFFFF"/>
        <w:spacing w:before="300" w:beforeAutospacing="0" w:after="300" w:afterAutospacing="0"/>
        <w:rPr>
          <w:rFonts w:ascii="Arial" w:hAnsi="Arial" w:cs="Arial"/>
          <w:color w:val="0B0C0C"/>
          <w:szCs w:val="29"/>
        </w:rPr>
      </w:pPr>
      <w:r>
        <w:rPr>
          <w:rFonts w:ascii="Arial" w:hAnsi="Arial" w:cs="Arial"/>
          <w:color w:val="0B0C0C"/>
          <w:szCs w:val="29"/>
        </w:rPr>
        <w:t>All young people should have the opportunity to live healthy and active lives. A positive experience of sport and physical activity at a young age can build a lifetime habit of participation, and is central to meeting the government’s ambitions for a world-class education system.</w:t>
      </w:r>
    </w:p>
    <w:p>
      <w:pPr>
        <w:pStyle w:val="NormalWeb"/>
        <w:shd w:val="clear" w:color="auto" w:fill="FFFFFF"/>
        <w:spacing w:before="300" w:beforeAutospacing="0" w:after="300" w:afterAutospacing="0"/>
        <w:rPr>
          <w:rFonts w:ascii="Arial" w:hAnsi="Arial" w:cs="Arial"/>
          <w:color w:val="0B0C0C"/>
          <w:szCs w:val="29"/>
        </w:rPr>
      </w:pPr>
      <w:r>
        <w:rPr>
          <w:rFonts w:ascii="Arial" w:hAnsi="Arial" w:cs="Arial"/>
          <w:color w:val="0B0C0C"/>
          <w:szCs w:val="29"/>
        </w:rPr>
        <w:t>Physical activity has numerous benefits for children and young people’s physical health, as well as their mental wellbeing (increasing self-esteem and emotional wellbeing and lowering anxiety and depression), and children who are physically active are happier, more resilient and more trusting of their peers. Ensuring that pupils have access to sufficient daily activity can also have wider benefits for pupils and schools, improving behaviour as well as enhancing academic achievement.</w:t>
      </w:r>
    </w:p>
    <w:p>
      <w:pPr>
        <w:pStyle w:val="NormalWeb"/>
        <w:shd w:val="clear" w:color="auto" w:fill="FFFFFF"/>
        <w:spacing w:before="300" w:beforeAutospacing="0" w:after="300" w:afterAutospacing="0"/>
        <w:rPr>
          <w:rFonts w:ascii="Arial" w:hAnsi="Arial" w:cs="Arial"/>
          <w:color w:val="0B0C0C"/>
          <w:sz w:val="20"/>
          <w:szCs w:val="29"/>
        </w:rPr>
      </w:pPr>
      <w:r>
        <w:rPr>
          <w:rFonts w:ascii="Arial" w:hAnsi="Arial" w:cs="Arial"/>
          <w:color w:val="0B0C0C"/>
          <w:szCs w:val="29"/>
        </w:rPr>
        <w:t>Soundwell will</w:t>
      </w:r>
      <w:r>
        <w:rPr>
          <w:rFonts w:ascii="Arial" w:hAnsi="Arial" w:cs="Arial"/>
          <w:color w:val="0B0C0C"/>
          <w:sz w:val="29"/>
          <w:szCs w:val="29"/>
        </w:rPr>
        <w:t xml:space="preserve"> </w:t>
      </w:r>
      <w:r>
        <w:rPr>
          <w:rFonts w:ascii="Arial" w:hAnsi="Arial" w:cs="Arial"/>
          <w:color w:val="0B0C0C"/>
          <w:szCs w:val="29"/>
        </w:rPr>
        <w:t>use the funding to make additional and sustainable improvements to the quality of their physical education (PE), physical activity and sport.</w:t>
      </w:r>
    </w:p>
    <w:p>
      <w:pPr>
        <w:shd w:val="clear" w:color="auto" w:fill="FFFFFF"/>
        <w:spacing w:before="300" w:after="300" w:line="240" w:lineRule="auto"/>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Schools should use the premium to secure improvements in the following 5 key indicators.</w:t>
      </w:r>
    </w:p>
    <w:p>
      <w:pPr>
        <w:shd w:val="clear" w:color="auto" w:fill="FFFFFF"/>
        <w:spacing w:before="300" w:after="300" w:line="240" w:lineRule="auto"/>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Engagement of all pupils in regular physical activity, for example by:</w:t>
      </w:r>
    </w:p>
    <w:p>
      <w:pPr>
        <w:numPr>
          <w:ilvl w:val="0"/>
          <w:numId w:val="2"/>
        </w:numPr>
        <w:shd w:val="clear" w:color="auto" w:fill="FFFFFF"/>
        <w:spacing w:after="75" w:line="240" w:lineRule="auto"/>
        <w:ind w:left="300"/>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providing targeted activities or support to involve and encourage the least active children</w:t>
      </w:r>
    </w:p>
    <w:p>
      <w:pPr>
        <w:numPr>
          <w:ilvl w:val="0"/>
          <w:numId w:val="2"/>
        </w:numPr>
        <w:shd w:val="clear" w:color="auto" w:fill="FFFFFF"/>
        <w:spacing w:after="75" w:line="240" w:lineRule="auto"/>
        <w:ind w:left="300"/>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encouraging active play during break times and lunchtimes</w:t>
      </w:r>
    </w:p>
    <w:p>
      <w:pPr>
        <w:numPr>
          <w:ilvl w:val="0"/>
          <w:numId w:val="2"/>
        </w:numPr>
        <w:shd w:val="clear" w:color="auto" w:fill="FFFFFF"/>
        <w:spacing w:after="75" w:line="240" w:lineRule="auto"/>
        <w:ind w:left="300"/>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establishing, extending or funding attendance of school sport clubs and activities and holiday clubs, or broadening the variety offered</w:t>
      </w:r>
    </w:p>
    <w:p>
      <w:pPr>
        <w:numPr>
          <w:ilvl w:val="0"/>
          <w:numId w:val="2"/>
        </w:numPr>
        <w:shd w:val="clear" w:color="auto" w:fill="FFFFFF"/>
        <w:spacing w:after="75" w:line="240" w:lineRule="auto"/>
        <w:ind w:left="300"/>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adopting an active mile initiative</w:t>
      </w:r>
    </w:p>
    <w:p>
      <w:pPr>
        <w:numPr>
          <w:ilvl w:val="0"/>
          <w:numId w:val="2"/>
        </w:numPr>
        <w:shd w:val="clear" w:color="auto" w:fill="FFFFFF"/>
        <w:spacing w:after="75" w:line="240" w:lineRule="auto"/>
        <w:ind w:left="300"/>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raising attainment in primary school swimming to meet requirements of the national curriculum before the end of key stage 2. Every child should leave primary school able to swim</w:t>
      </w:r>
    </w:p>
    <w:p>
      <w:pPr>
        <w:pStyle w:val="paragraph"/>
        <w:spacing w:before="0" w:beforeAutospacing="0" w:after="0" w:afterAutospacing="0"/>
        <w:textAlignment w:val="baseline"/>
        <w:rPr>
          <w:rStyle w:val="normaltextrun"/>
          <w:rFonts w:ascii="Arial" w:hAnsi="Arial" w:cs="Arial"/>
          <w:b/>
          <w:bCs/>
        </w:rPr>
      </w:pPr>
    </w:p>
    <w:p>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Objectives of Primary Sports Funding </w:t>
      </w:r>
      <w:r>
        <w:rPr>
          <w:rStyle w:val="eop"/>
          <w:rFonts w:ascii="Arial" w:hAnsi="Arial" w:cs="Arial"/>
        </w:rPr>
        <w:t> </w:t>
      </w:r>
    </w:p>
    <w:p>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At Soundwell we support all our pupils.  We do this by providing high quality teaching supplemented by interventions to support vulnerable learners as and when required.  The Strategic Leadership Team and Academy Council monitor the impact of all spending and interventions, including the Primary Sports Funding. </w:t>
      </w:r>
      <w:r>
        <w:rPr>
          <w:rStyle w:val="eop"/>
          <w:rFonts w:ascii="Arial" w:hAnsi="Arial" w:cs="Arial"/>
        </w:rPr>
        <w:t> </w:t>
      </w:r>
    </w:p>
    <w:p>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pPr>
        <w:pStyle w:val="paragraph"/>
        <w:spacing w:before="0" w:beforeAutospacing="0" w:after="0" w:afterAutospacing="0"/>
        <w:textAlignment w:val="baseline"/>
        <w:rPr>
          <w:rStyle w:val="eop"/>
          <w:rFonts w:ascii="Arial" w:hAnsi="Arial" w:cs="Arial"/>
        </w:rPr>
      </w:pPr>
      <w:r>
        <w:rPr>
          <w:rStyle w:val="normaltextrun"/>
          <w:rFonts w:ascii="Arial" w:hAnsi="Arial" w:cs="Arial"/>
          <w:color w:val="000000"/>
          <w:lang w:val="en"/>
        </w:rPr>
        <w:lastRenderedPageBreak/>
        <w:t>Soundwell receives £1000 per pupil. The total amount of Primary Sports Funding for 2020-21 is £10,000.</w:t>
      </w:r>
      <w:r>
        <w:rPr>
          <w:rStyle w:val="eop"/>
          <w:rFonts w:ascii="Arial" w:hAnsi="Arial" w:cs="Arial"/>
        </w:rPr>
        <w:t> </w:t>
      </w:r>
    </w:p>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shd w:val="clear" w:color="auto" w:fill="D0CECE" w:themeFill="background2" w:themeFillShade="E6"/>
          </w:tcPr>
          <w:p>
            <w:r>
              <w:t>Academic Achievement</w:t>
            </w:r>
          </w:p>
        </w:tc>
        <w:tc>
          <w:tcPr>
            <w:tcW w:w="1803" w:type="dxa"/>
            <w:shd w:val="clear" w:color="auto" w:fill="FBE4D5" w:themeFill="accent2" w:themeFillTint="33"/>
          </w:tcPr>
          <w:p>
            <w:r>
              <w:t>Focusing on Social, Emotional and Mental Health support</w:t>
            </w:r>
          </w:p>
        </w:tc>
        <w:tc>
          <w:tcPr>
            <w:tcW w:w="1803" w:type="dxa"/>
            <w:shd w:val="clear" w:color="auto" w:fill="FFF2CC" w:themeFill="accent4" w:themeFillTint="33"/>
          </w:tcPr>
          <w:p>
            <w:r>
              <w:t>Focus on enrichment outside of the curriculum</w:t>
            </w:r>
          </w:p>
        </w:tc>
        <w:tc>
          <w:tcPr>
            <w:tcW w:w="1803" w:type="dxa"/>
            <w:shd w:val="clear" w:color="auto" w:fill="D9E2F3" w:themeFill="accent5" w:themeFillTint="33"/>
          </w:tcPr>
          <w:p>
            <w:r>
              <w:t>Family Support</w:t>
            </w:r>
          </w:p>
        </w:tc>
        <w:tc>
          <w:tcPr>
            <w:tcW w:w="1804" w:type="dxa"/>
            <w:shd w:val="clear" w:color="auto" w:fill="C5E0B3" w:themeFill="accent6" w:themeFillTint="66"/>
          </w:tcPr>
          <w:p>
            <w:r>
              <w:t>School Readiness</w:t>
            </w:r>
          </w:p>
        </w:tc>
      </w:tr>
    </w:tbl>
    <w:p/>
    <w:p/>
    <w:p>
      <w:pPr>
        <w:rPr>
          <w:b/>
        </w:rPr>
      </w:pPr>
      <w:r>
        <w:rPr>
          <w:b/>
        </w:rPr>
        <w:t>Primary Sports Funding 20/21</w:t>
      </w:r>
    </w:p>
    <w:tbl>
      <w:tblPr>
        <w:tblStyle w:val="TableGrid"/>
        <w:tblW w:w="0" w:type="auto"/>
        <w:tblLook w:val="04A0" w:firstRow="1" w:lastRow="0" w:firstColumn="1" w:lastColumn="0" w:noHBand="0" w:noVBand="1"/>
      </w:tblPr>
      <w:tblGrid>
        <w:gridCol w:w="3397"/>
        <w:gridCol w:w="1418"/>
        <w:gridCol w:w="4201"/>
      </w:tblGrid>
      <w:tr>
        <w:tc>
          <w:tcPr>
            <w:tcW w:w="3397" w:type="dxa"/>
          </w:tcPr>
          <w:p>
            <w:pPr>
              <w:rPr>
                <w:b/>
                <w:sz w:val="24"/>
              </w:rPr>
            </w:pPr>
            <w:r>
              <w:rPr>
                <w:b/>
                <w:sz w:val="24"/>
              </w:rPr>
              <w:t>Area</w:t>
            </w:r>
          </w:p>
        </w:tc>
        <w:tc>
          <w:tcPr>
            <w:tcW w:w="1418" w:type="dxa"/>
          </w:tcPr>
          <w:p>
            <w:pPr>
              <w:rPr>
                <w:b/>
                <w:sz w:val="24"/>
              </w:rPr>
            </w:pPr>
            <w:r>
              <w:rPr>
                <w:b/>
                <w:sz w:val="24"/>
              </w:rPr>
              <w:t>Cost</w:t>
            </w:r>
          </w:p>
        </w:tc>
        <w:tc>
          <w:tcPr>
            <w:tcW w:w="4201" w:type="dxa"/>
          </w:tcPr>
          <w:p>
            <w:pPr>
              <w:rPr>
                <w:b/>
                <w:sz w:val="24"/>
              </w:rPr>
            </w:pPr>
            <w:r>
              <w:rPr>
                <w:b/>
                <w:sz w:val="24"/>
              </w:rPr>
              <w:t>Expected Outcome</w:t>
            </w:r>
          </w:p>
        </w:tc>
      </w:tr>
      <w:tr>
        <w:tc>
          <w:tcPr>
            <w:tcW w:w="3397" w:type="dxa"/>
          </w:tcPr>
          <w:p>
            <w:r>
              <w:t>Specialist sporting equipment for PE sessions</w:t>
            </w:r>
          </w:p>
        </w:tc>
        <w:tc>
          <w:tcPr>
            <w:tcW w:w="1418" w:type="dxa"/>
            <w:shd w:val="clear" w:color="auto" w:fill="FFF2CC" w:themeFill="accent4" w:themeFillTint="33"/>
          </w:tcPr>
          <w:p>
            <w:r>
              <w:t>£3,000</w:t>
            </w:r>
          </w:p>
        </w:tc>
        <w:tc>
          <w:tcPr>
            <w:tcW w:w="4201" w:type="dxa"/>
          </w:tcPr>
          <w:p>
            <w:pPr>
              <w:rPr>
                <w:sz w:val="24"/>
              </w:rPr>
            </w:pPr>
            <w:r>
              <w:t>Pupils to have an enriched curriculum using the specialist equipment for the sport sessions</w:t>
            </w:r>
          </w:p>
        </w:tc>
      </w:tr>
      <w:tr>
        <w:tc>
          <w:tcPr>
            <w:tcW w:w="3397" w:type="dxa"/>
          </w:tcPr>
          <w:p>
            <w:r>
              <w:t>Bristol Bears coaching sessions</w:t>
            </w:r>
          </w:p>
          <w:p>
            <w:r>
              <w:t>4 Classes 30 mins session per week</w:t>
            </w:r>
          </w:p>
        </w:tc>
        <w:tc>
          <w:tcPr>
            <w:tcW w:w="1418" w:type="dxa"/>
            <w:shd w:val="clear" w:color="auto" w:fill="D0CECE" w:themeFill="background2" w:themeFillShade="E6"/>
          </w:tcPr>
          <w:p>
            <w:r>
              <w:t>£4,650</w:t>
            </w:r>
          </w:p>
        </w:tc>
        <w:tc>
          <w:tcPr>
            <w:tcW w:w="4201" w:type="dxa"/>
          </w:tcPr>
          <w:p>
            <w:pPr>
              <w:rPr>
                <w:sz w:val="24"/>
              </w:rPr>
            </w:pPr>
            <w:r>
              <w:t>Pupils to join in well differentiated sporting session ran by professional coaches</w:t>
            </w:r>
          </w:p>
        </w:tc>
      </w:tr>
      <w:tr>
        <w:tc>
          <w:tcPr>
            <w:tcW w:w="3397" w:type="dxa"/>
          </w:tcPr>
          <w:p>
            <w:pPr>
              <w:pStyle w:val="NormalWeb"/>
              <w:rPr>
                <w:rFonts w:asciiTheme="minorHAnsi" w:hAnsiTheme="minorHAnsi" w:cstheme="minorHAnsi"/>
                <w:color w:val="000000"/>
                <w:szCs w:val="27"/>
              </w:rPr>
            </w:pPr>
            <w:r>
              <w:rPr>
                <w:rFonts w:asciiTheme="minorHAnsi" w:hAnsiTheme="minorHAnsi" w:cstheme="minorHAnsi"/>
                <w:color w:val="000000"/>
                <w:szCs w:val="27"/>
              </w:rPr>
              <w:t>Objective: Increase motivation and sense of belonging.</w:t>
            </w:r>
          </w:p>
          <w:p>
            <w:pPr>
              <w:rPr>
                <w:rFonts w:cstheme="minorHAnsi"/>
                <w:sz w:val="24"/>
              </w:rPr>
            </w:pPr>
          </w:p>
        </w:tc>
        <w:tc>
          <w:tcPr>
            <w:tcW w:w="1418" w:type="dxa"/>
            <w:shd w:val="clear" w:color="auto" w:fill="FBE4D5" w:themeFill="accent2" w:themeFillTint="33"/>
          </w:tcPr>
          <w:p>
            <w:pPr>
              <w:rPr>
                <w:rFonts w:cstheme="minorHAnsi"/>
                <w:sz w:val="24"/>
              </w:rPr>
            </w:pPr>
            <w:r>
              <w:rPr>
                <w:rFonts w:cstheme="minorHAnsi"/>
                <w:sz w:val="24"/>
              </w:rPr>
              <w:t>£800</w:t>
            </w:r>
          </w:p>
          <w:p>
            <w:pPr>
              <w:rPr>
                <w:rFonts w:cstheme="minorHAnsi"/>
                <w:sz w:val="24"/>
              </w:rPr>
            </w:pPr>
          </w:p>
          <w:p>
            <w:pPr>
              <w:rPr>
                <w:rFonts w:cstheme="minorHAnsi"/>
                <w:sz w:val="24"/>
              </w:rPr>
            </w:pPr>
            <w:r>
              <w:rPr>
                <w:rFonts w:cstheme="minorHAnsi"/>
                <w:sz w:val="24"/>
              </w:rPr>
              <w:t>4 days of Farm enrichment at £200 per day</w:t>
            </w:r>
          </w:p>
        </w:tc>
        <w:tc>
          <w:tcPr>
            <w:tcW w:w="4201" w:type="dxa"/>
          </w:tcPr>
          <w:p>
            <w:pPr>
              <w:rPr>
                <w:rFonts w:cstheme="minorHAnsi"/>
                <w:sz w:val="24"/>
              </w:rPr>
            </w:pPr>
            <w:r>
              <w:rPr>
                <w:rFonts w:cstheme="minorHAnsi"/>
                <w:color w:val="000000"/>
                <w:sz w:val="24"/>
                <w:szCs w:val="27"/>
              </w:rPr>
              <w:t>The progress and positive contributions of all students is recognized and celebrated.</w:t>
            </w:r>
          </w:p>
        </w:tc>
      </w:tr>
      <w:tr>
        <w:tc>
          <w:tcPr>
            <w:tcW w:w="3397" w:type="dxa"/>
          </w:tcPr>
          <w:p>
            <w:pPr>
              <w:pStyle w:val="NormalWeb"/>
              <w:rPr>
                <w:rFonts w:asciiTheme="minorHAnsi" w:hAnsiTheme="minorHAnsi" w:cstheme="minorHAnsi"/>
                <w:color w:val="000000"/>
                <w:szCs w:val="27"/>
              </w:rPr>
            </w:pPr>
            <w:r>
              <w:rPr>
                <w:rFonts w:asciiTheme="minorHAnsi" w:hAnsiTheme="minorHAnsi" w:cstheme="minorHAnsi"/>
                <w:color w:val="000000"/>
                <w:szCs w:val="27"/>
              </w:rPr>
              <w:t>Total</w:t>
            </w:r>
          </w:p>
        </w:tc>
        <w:tc>
          <w:tcPr>
            <w:tcW w:w="1418" w:type="dxa"/>
            <w:shd w:val="clear" w:color="auto" w:fill="auto"/>
          </w:tcPr>
          <w:p>
            <w:pPr>
              <w:rPr>
                <w:rFonts w:cstheme="minorHAnsi"/>
                <w:sz w:val="24"/>
              </w:rPr>
            </w:pPr>
            <w:r>
              <w:rPr>
                <w:rFonts w:cstheme="minorHAnsi"/>
                <w:sz w:val="24"/>
              </w:rPr>
              <w:t>£8,450 of £10.000</w:t>
            </w:r>
          </w:p>
        </w:tc>
        <w:tc>
          <w:tcPr>
            <w:tcW w:w="4201" w:type="dxa"/>
          </w:tcPr>
          <w:p>
            <w:pPr>
              <w:rPr>
                <w:rFonts w:cstheme="minorHAnsi"/>
                <w:color w:val="000000"/>
                <w:sz w:val="24"/>
                <w:szCs w:val="27"/>
              </w:rPr>
            </w:pPr>
          </w:p>
        </w:tc>
      </w:tr>
    </w:tbl>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CD2"/>
    <w:multiLevelType w:val="multilevel"/>
    <w:tmpl w:val="9DBE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D4E83"/>
    <w:multiLevelType w:val="multilevel"/>
    <w:tmpl w:val="9AA4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A87FDF"/>
    <w:multiLevelType w:val="multilevel"/>
    <w:tmpl w:val="CBAA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504192"/>
    <w:multiLevelType w:val="multilevel"/>
    <w:tmpl w:val="986E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437D42"/>
    <w:multiLevelType w:val="multilevel"/>
    <w:tmpl w:val="3F22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7A89F-05B3-4099-A557-3191B21A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3367">
      <w:bodyDiv w:val="1"/>
      <w:marLeft w:val="0"/>
      <w:marRight w:val="0"/>
      <w:marTop w:val="0"/>
      <w:marBottom w:val="0"/>
      <w:divBdr>
        <w:top w:val="none" w:sz="0" w:space="0" w:color="auto"/>
        <w:left w:val="none" w:sz="0" w:space="0" w:color="auto"/>
        <w:bottom w:val="none" w:sz="0" w:space="0" w:color="auto"/>
        <w:right w:val="none" w:sz="0" w:space="0" w:color="auto"/>
      </w:divBdr>
    </w:div>
    <w:div w:id="204025099">
      <w:bodyDiv w:val="1"/>
      <w:marLeft w:val="0"/>
      <w:marRight w:val="0"/>
      <w:marTop w:val="0"/>
      <w:marBottom w:val="0"/>
      <w:divBdr>
        <w:top w:val="none" w:sz="0" w:space="0" w:color="auto"/>
        <w:left w:val="none" w:sz="0" w:space="0" w:color="auto"/>
        <w:bottom w:val="none" w:sz="0" w:space="0" w:color="auto"/>
        <w:right w:val="none" w:sz="0" w:space="0" w:color="auto"/>
      </w:divBdr>
    </w:div>
    <w:div w:id="456601692">
      <w:bodyDiv w:val="1"/>
      <w:marLeft w:val="0"/>
      <w:marRight w:val="0"/>
      <w:marTop w:val="0"/>
      <w:marBottom w:val="0"/>
      <w:divBdr>
        <w:top w:val="none" w:sz="0" w:space="0" w:color="auto"/>
        <w:left w:val="none" w:sz="0" w:space="0" w:color="auto"/>
        <w:bottom w:val="none" w:sz="0" w:space="0" w:color="auto"/>
        <w:right w:val="none" w:sz="0" w:space="0" w:color="auto"/>
      </w:divBdr>
    </w:div>
    <w:div w:id="472676388">
      <w:bodyDiv w:val="1"/>
      <w:marLeft w:val="0"/>
      <w:marRight w:val="0"/>
      <w:marTop w:val="0"/>
      <w:marBottom w:val="0"/>
      <w:divBdr>
        <w:top w:val="none" w:sz="0" w:space="0" w:color="auto"/>
        <w:left w:val="none" w:sz="0" w:space="0" w:color="auto"/>
        <w:bottom w:val="none" w:sz="0" w:space="0" w:color="auto"/>
        <w:right w:val="none" w:sz="0" w:space="0" w:color="auto"/>
      </w:divBdr>
    </w:div>
    <w:div w:id="733897467">
      <w:bodyDiv w:val="1"/>
      <w:marLeft w:val="0"/>
      <w:marRight w:val="0"/>
      <w:marTop w:val="0"/>
      <w:marBottom w:val="0"/>
      <w:divBdr>
        <w:top w:val="none" w:sz="0" w:space="0" w:color="auto"/>
        <w:left w:val="none" w:sz="0" w:space="0" w:color="auto"/>
        <w:bottom w:val="none" w:sz="0" w:space="0" w:color="auto"/>
        <w:right w:val="none" w:sz="0" w:space="0" w:color="auto"/>
      </w:divBdr>
    </w:div>
    <w:div w:id="827789881">
      <w:bodyDiv w:val="1"/>
      <w:marLeft w:val="0"/>
      <w:marRight w:val="0"/>
      <w:marTop w:val="0"/>
      <w:marBottom w:val="0"/>
      <w:divBdr>
        <w:top w:val="none" w:sz="0" w:space="0" w:color="auto"/>
        <w:left w:val="none" w:sz="0" w:space="0" w:color="auto"/>
        <w:bottom w:val="none" w:sz="0" w:space="0" w:color="auto"/>
        <w:right w:val="none" w:sz="0" w:space="0" w:color="auto"/>
      </w:divBdr>
      <w:divsChild>
        <w:div w:id="1590696493">
          <w:marLeft w:val="0"/>
          <w:marRight w:val="0"/>
          <w:marTop w:val="0"/>
          <w:marBottom w:val="0"/>
          <w:divBdr>
            <w:top w:val="none" w:sz="0" w:space="0" w:color="auto"/>
            <w:left w:val="none" w:sz="0" w:space="0" w:color="auto"/>
            <w:bottom w:val="none" w:sz="0" w:space="0" w:color="auto"/>
            <w:right w:val="none" w:sz="0" w:space="0" w:color="auto"/>
          </w:divBdr>
        </w:div>
        <w:div w:id="797573593">
          <w:marLeft w:val="0"/>
          <w:marRight w:val="0"/>
          <w:marTop w:val="0"/>
          <w:marBottom w:val="0"/>
          <w:divBdr>
            <w:top w:val="none" w:sz="0" w:space="0" w:color="auto"/>
            <w:left w:val="none" w:sz="0" w:space="0" w:color="auto"/>
            <w:bottom w:val="none" w:sz="0" w:space="0" w:color="auto"/>
            <w:right w:val="none" w:sz="0" w:space="0" w:color="auto"/>
          </w:divBdr>
        </w:div>
        <w:div w:id="2073846833">
          <w:marLeft w:val="0"/>
          <w:marRight w:val="0"/>
          <w:marTop w:val="0"/>
          <w:marBottom w:val="0"/>
          <w:divBdr>
            <w:top w:val="none" w:sz="0" w:space="0" w:color="auto"/>
            <w:left w:val="none" w:sz="0" w:space="0" w:color="auto"/>
            <w:bottom w:val="none" w:sz="0" w:space="0" w:color="auto"/>
            <w:right w:val="none" w:sz="0" w:space="0" w:color="auto"/>
          </w:divBdr>
        </w:div>
        <w:div w:id="1640261663">
          <w:marLeft w:val="0"/>
          <w:marRight w:val="0"/>
          <w:marTop w:val="0"/>
          <w:marBottom w:val="0"/>
          <w:divBdr>
            <w:top w:val="none" w:sz="0" w:space="0" w:color="auto"/>
            <w:left w:val="none" w:sz="0" w:space="0" w:color="auto"/>
            <w:bottom w:val="none" w:sz="0" w:space="0" w:color="auto"/>
            <w:right w:val="none" w:sz="0" w:space="0" w:color="auto"/>
          </w:divBdr>
        </w:div>
        <w:div w:id="497615860">
          <w:marLeft w:val="0"/>
          <w:marRight w:val="0"/>
          <w:marTop w:val="0"/>
          <w:marBottom w:val="0"/>
          <w:divBdr>
            <w:top w:val="none" w:sz="0" w:space="0" w:color="auto"/>
            <w:left w:val="none" w:sz="0" w:space="0" w:color="auto"/>
            <w:bottom w:val="none" w:sz="0" w:space="0" w:color="auto"/>
            <w:right w:val="none" w:sz="0" w:space="0" w:color="auto"/>
          </w:divBdr>
        </w:div>
        <w:div w:id="787965827">
          <w:marLeft w:val="0"/>
          <w:marRight w:val="0"/>
          <w:marTop w:val="0"/>
          <w:marBottom w:val="0"/>
          <w:divBdr>
            <w:top w:val="none" w:sz="0" w:space="0" w:color="auto"/>
            <w:left w:val="none" w:sz="0" w:space="0" w:color="auto"/>
            <w:bottom w:val="none" w:sz="0" w:space="0" w:color="auto"/>
            <w:right w:val="none" w:sz="0" w:space="0" w:color="auto"/>
          </w:divBdr>
        </w:div>
        <w:div w:id="1177580216">
          <w:marLeft w:val="0"/>
          <w:marRight w:val="0"/>
          <w:marTop w:val="0"/>
          <w:marBottom w:val="0"/>
          <w:divBdr>
            <w:top w:val="none" w:sz="0" w:space="0" w:color="auto"/>
            <w:left w:val="none" w:sz="0" w:space="0" w:color="auto"/>
            <w:bottom w:val="none" w:sz="0" w:space="0" w:color="auto"/>
            <w:right w:val="none" w:sz="0" w:space="0" w:color="auto"/>
          </w:divBdr>
        </w:div>
        <w:div w:id="593705957">
          <w:marLeft w:val="0"/>
          <w:marRight w:val="0"/>
          <w:marTop w:val="0"/>
          <w:marBottom w:val="0"/>
          <w:divBdr>
            <w:top w:val="none" w:sz="0" w:space="0" w:color="auto"/>
            <w:left w:val="none" w:sz="0" w:space="0" w:color="auto"/>
            <w:bottom w:val="none" w:sz="0" w:space="0" w:color="auto"/>
            <w:right w:val="none" w:sz="0" w:space="0" w:color="auto"/>
          </w:divBdr>
        </w:div>
        <w:div w:id="1589003565">
          <w:marLeft w:val="0"/>
          <w:marRight w:val="0"/>
          <w:marTop w:val="0"/>
          <w:marBottom w:val="0"/>
          <w:divBdr>
            <w:top w:val="none" w:sz="0" w:space="0" w:color="auto"/>
            <w:left w:val="none" w:sz="0" w:space="0" w:color="auto"/>
            <w:bottom w:val="none" w:sz="0" w:space="0" w:color="auto"/>
            <w:right w:val="none" w:sz="0" w:space="0" w:color="auto"/>
          </w:divBdr>
        </w:div>
        <w:div w:id="2115904531">
          <w:marLeft w:val="0"/>
          <w:marRight w:val="0"/>
          <w:marTop w:val="0"/>
          <w:marBottom w:val="0"/>
          <w:divBdr>
            <w:top w:val="none" w:sz="0" w:space="0" w:color="auto"/>
            <w:left w:val="none" w:sz="0" w:space="0" w:color="auto"/>
            <w:bottom w:val="none" w:sz="0" w:space="0" w:color="auto"/>
            <w:right w:val="none" w:sz="0" w:space="0" w:color="auto"/>
          </w:divBdr>
        </w:div>
        <w:div w:id="35936134">
          <w:marLeft w:val="0"/>
          <w:marRight w:val="0"/>
          <w:marTop w:val="0"/>
          <w:marBottom w:val="0"/>
          <w:divBdr>
            <w:top w:val="none" w:sz="0" w:space="0" w:color="auto"/>
            <w:left w:val="none" w:sz="0" w:space="0" w:color="auto"/>
            <w:bottom w:val="none" w:sz="0" w:space="0" w:color="auto"/>
            <w:right w:val="none" w:sz="0" w:space="0" w:color="auto"/>
          </w:divBdr>
        </w:div>
        <w:div w:id="1460535736">
          <w:marLeft w:val="0"/>
          <w:marRight w:val="0"/>
          <w:marTop w:val="0"/>
          <w:marBottom w:val="0"/>
          <w:divBdr>
            <w:top w:val="none" w:sz="0" w:space="0" w:color="auto"/>
            <w:left w:val="none" w:sz="0" w:space="0" w:color="auto"/>
            <w:bottom w:val="none" w:sz="0" w:space="0" w:color="auto"/>
            <w:right w:val="none" w:sz="0" w:space="0" w:color="auto"/>
          </w:divBdr>
        </w:div>
        <w:div w:id="1951665601">
          <w:marLeft w:val="0"/>
          <w:marRight w:val="0"/>
          <w:marTop w:val="0"/>
          <w:marBottom w:val="0"/>
          <w:divBdr>
            <w:top w:val="none" w:sz="0" w:space="0" w:color="auto"/>
            <w:left w:val="none" w:sz="0" w:space="0" w:color="auto"/>
            <w:bottom w:val="none" w:sz="0" w:space="0" w:color="auto"/>
            <w:right w:val="none" w:sz="0" w:space="0" w:color="auto"/>
          </w:divBdr>
        </w:div>
        <w:div w:id="777145415">
          <w:marLeft w:val="0"/>
          <w:marRight w:val="0"/>
          <w:marTop w:val="0"/>
          <w:marBottom w:val="0"/>
          <w:divBdr>
            <w:top w:val="none" w:sz="0" w:space="0" w:color="auto"/>
            <w:left w:val="none" w:sz="0" w:space="0" w:color="auto"/>
            <w:bottom w:val="none" w:sz="0" w:space="0" w:color="auto"/>
            <w:right w:val="none" w:sz="0" w:space="0" w:color="auto"/>
          </w:divBdr>
        </w:div>
        <w:div w:id="1836333768">
          <w:marLeft w:val="0"/>
          <w:marRight w:val="0"/>
          <w:marTop w:val="0"/>
          <w:marBottom w:val="0"/>
          <w:divBdr>
            <w:top w:val="none" w:sz="0" w:space="0" w:color="auto"/>
            <w:left w:val="none" w:sz="0" w:space="0" w:color="auto"/>
            <w:bottom w:val="none" w:sz="0" w:space="0" w:color="auto"/>
            <w:right w:val="none" w:sz="0" w:space="0" w:color="auto"/>
          </w:divBdr>
        </w:div>
        <w:div w:id="519973368">
          <w:marLeft w:val="0"/>
          <w:marRight w:val="0"/>
          <w:marTop w:val="0"/>
          <w:marBottom w:val="0"/>
          <w:divBdr>
            <w:top w:val="none" w:sz="0" w:space="0" w:color="auto"/>
            <w:left w:val="none" w:sz="0" w:space="0" w:color="auto"/>
            <w:bottom w:val="none" w:sz="0" w:space="0" w:color="auto"/>
            <w:right w:val="none" w:sz="0" w:space="0" w:color="auto"/>
          </w:divBdr>
        </w:div>
        <w:div w:id="378866787">
          <w:marLeft w:val="0"/>
          <w:marRight w:val="0"/>
          <w:marTop w:val="0"/>
          <w:marBottom w:val="0"/>
          <w:divBdr>
            <w:top w:val="none" w:sz="0" w:space="0" w:color="auto"/>
            <w:left w:val="none" w:sz="0" w:space="0" w:color="auto"/>
            <w:bottom w:val="none" w:sz="0" w:space="0" w:color="auto"/>
            <w:right w:val="none" w:sz="0" w:space="0" w:color="auto"/>
          </w:divBdr>
        </w:div>
        <w:div w:id="1126898549">
          <w:marLeft w:val="0"/>
          <w:marRight w:val="0"/>
          <w:marTop w:val="0"/>
          <w:marBottom w:val="0"/>
          <w:divBdr>
            <w:top w:val="none" w:sz="0" w:space="0" w:color="auto"/>
            <w:left w:val="none" w:sz="0" w:space="0" w:color="auto"/>
            <w:bottom w:val="none" w:sz="0" w:space="0" w:color="auto"/>
            <w:right w:val="none" w:sz="0" w:space="0" w:color="auto"/>
          </w:divBdr>
        </w:div>
        <w:div w:id="1817138987">
          <w:marLeft w:val="0"/>
          <w:marRight w:val="0"/>
          <w:marTop w:val="0"/>
          <w:marBottom w:val="0"/>
          <w:divBdr>
            <w:top w:val="none" w:sz="0" w:space="0" w:color="auto"/>
            <w:left w:val="none" w:sz="0" w:space="0" w:color="auto"/>
            <w:bottom w:val="none" w:sz="0" w:space="0" w:color="auto"/>
            <w:right w:val="none" w:sz="0" w:space="0" w:color="auto"/>
          </w:divBdr>
        </w:div>
        <w:div w:id="579294747">
          <w:marLeft w:val="0"/>
          <w:marRight w:val="0"/>
          <w:marTop w:val="0"/>
          <w:marBottom w:val="0"/>
          <w:divBdr>
            <w:top w:val="none" w:sz="0" w:space="0" w:color="auto"/>
            <w:left w:val="none" w:sz="0" w:space="0" w:color="auto"/>
            <w:bottom w:val="none" w:sz="0" w:space="0" w:color="auto"/>
            <w:right w:val="none" w:sz="0" w:space="0" w:color="auto"/>
          </w:divBdr>
        </w:div>
        <w:div w:id="1716854757">
          <w:marLeft w:val="0"/>
          <w:marRight w:val="0"/>
          <w:marTop w:val="0"/>
          <w:marBottom w:val="0"/>
          <w:divBdr>
            <w:top w:val="none" w:sz="0" w:space="0" w:color="auto"/>
            <w:left w:val="none" w:sz="0" w:space="0" w:color="auto"/>
            <w:bottom w:val="none" w:sz="0" w:space="0" w:color="auto"/>
            <w:right w:val="none" w:sz="0" w:space="0" w:color="auto"/>
          </w:divBdr>
        </w:div>
      </w:divsChild>
    </w:div>
    <w:div w:id="1285620140">
      <w:bodyDiv w:val="1"/>
      <w:marLeft w:val="0"/>
      <w:marRight w:val="0"/>
      <w:marTop w:val="0"/>
      <w:marBottom w:val="0"/>
      <w:divBdr>
        <w:top w:val="none" w:sz="0" w:space="0" w:color="auto"/>
        <w:left w:val="none" w:sz="0" w:space="0" w:color="auto"/>
        <w:bottom w:val="none" w:sz="0" w:space="0" w:color="auto"/>
        <w:right w:val="none" w:sz="0" w:space="0" w:color="auto"/>
      </w:divBdr>
    </w:div>
    <w:div w:id="1363163748">
      <w:bodyDiv w:val="1"/>
      <w:marLeft w:val="0"/>
      <w:marRight w:val="0"/>
      <w:marTop w:val="0"/>
      <w:marBottom w:val="0"/>
      <w:divBdr>
        <w:top w:val="none" w:sz="0" w:space="0" w:color="auto"/>
        <w:left w:val="none" w:sz="0" w:space="0" w:color="auto"/>
        <w:bottom w:val="none" w:sz="0" w:space="0" w:color="auto"/>
        <w:right w:val="none" w:sz="0" w:space="0" w:color="auto"/>
      </w:divBdr>
    </w:div>
    <w:div w:id="19951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7</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Abbs</dc:creator>
  <cp:keywords/>
  <dc:description/>
  <cp:lastModifiedBy>Kerisha Stephenson</cp:lastModifiedBy>
  <cp:revision>15</cp:revision>
  <dcterms:created xsi:type="dcterms:W3CDTF">2020-06-04T10:09:00Z</dcterms:created>
  <dcterms:modified xsi:type="dcterms:W3CDTF">2022-12-09T10:06:00Z</dcterms:modified>
</cp:coreProperties>
</file>